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jpeg" ContentType="image/jpeg"/>
  <Override PartName="/word/media/image3.png" ContentType="image/png"/>
  <Override PartName="/word/media/image2.png" ContentType="image/png"/>
  <Override PartName="/word/media/image4.jpeg" ContentType="image/jpeg"/>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3.xml.rels" ContentType="application/vnd.openxmlformats-package.relationships+xml"/>
  <Override PartName="/word/_rels/header1.xml.rels" ContentType="application/vnd.openxmlformats-package.relationships+xml"/>
  <Override PartName="/word/_rels/head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right"/>
        <w:rPr>
          <w:rFonts w:ascii="Calibri" w:hAnsi="Calibri" w:asciiTheme="minorHAnsi" w:hAnsiTheme="minorHAnsi"/>
          <w:i/>
          <w:i/>
          <w:lang w:val="es-ES_tradnl"/>
        </w:rPr>
      </w:pPr>
      <w:bookmarkStart w:id="0" w:name="_GoBack"/>
      <w:bookmarkEnd w:id="0"/>
      <w:r>
        <w:rPr>
          <w:rFonts w:ascii="Calibri" w:hAnsi="Calibri" w:asciiTheme="minorHAnsi" w:hAnsiTheme="minorHAnsi"/>
          <w:i/>
          <w:lang w:val="es-ES_tradnl"/>
        </w:rPr>
        <w:t>Unidad Clínica de Enfermedades Infecciosas,</w:t>
      </w:r>
    </w:p>
    <w:p>
      <w:pPr>
        <w:pStyle w:val="Normal"/>
        <w:jc w:val="right"/>
        <w:rPr>
          <w:rFonts w:ascii="Calibri" w:hAnsi="Calibri" w:asciiTheme="minorHAnsi" w:hAnsiTheme="minorHAnsi"/>
          <w:i/>
          <w:i/>
          <w:lang w:val="es-ES_tradnl"/>
        </w:rPr>
      </w:pPr>
      <w:r>
        <w:rPr>
          <w:rFonts w:ascii="Calibri" w:hAnsi="Calibri" w:asciiTheme="minorHAnsi" w:hAnsiTheme="minorHAnsi"/>
          <w:i/>
          <w:lang w:val="es-ES_tradnl"/>
        </w:rPr>
        <w:t xml:space="preserve"> </w:t>
      </w:r>
      <w:r>
        <w:rPr>
          <w:rFonts w:ascii="Calibri" w:hAnsi="Calibri" w:asciiTheme="minorHAnsi" w:hAnsiTheme="minorHAnsi"/>
          <w:i/>
          <w:lang w:val="es-ES_tradnl"/>
        </w:rPr>
        <w:t>Microbiología y Medicina Preventiva</w:t>
      </w:r>
    </w:p>
    <w:p>
      <w:pPr>
        <w:pStyle w:val="Normal"/>
        <w:jc w:val="right"/>
        <w:rPr>
          <w:rFonts w:ascii="Calibri" w:hAnsi="Calibri" w:asciiTheme="minorHAnsi" w:hAnsiTheme="minorHAnsi"/>
          <w:i/>
          <w:i/>
          <w:lang w:val="es-ES_tradnl"/>
        </w:rPr>
      </w:pPr>
      <w:r>
        <w:rPr/>
      </w:r>
    </w:p>
    <w:p>
      <w:pPr>
        <w:pStyle w:val="Normal"/>
        <w:rPr>
          <w:rFonts w:ascii="Arial" w:hAnsi="Arial" w:cs="Arial"/>
          <w:b/>
          <w:b/>
          <w:bCs/>
        </w:rPr>
      </w:pPr>
      <w:r>
        <w:rPr>
          <w:rFonts w:cs="Arial" w:ascii="Arial" w:hAnsi="Arial"/>
          <w:b/>
          <w:bCs/>
        </w:rPr>
      </w:r>
    </w:p>
    <w:p>
      <w:pPr>
        <w:pStyle w:val="Normal"/>
        <w:rPr>
          <w:rFonts w:ascii="Arial" w:hAnsi="Arial" w:cs="Arial"/>
          <w:b/>
          <w:b/>
          <w:bCs/>
        </w:rPr>
      </w:pPr>
      <w:r>
        <w:rPr>
          <w:rFonts w:cs="Arial" w:ascii="Arial" w:hAnsi="Arial"/>
          <w:b/>
          <w:bCs/>
        </w:rPr>
        <w:t>ORGANIGRAMA DE FUNCIONAMIENTO DEL DOMUS</w:t>
      </w:r>
    </w:p>
    <w:p>
      <w:pPr>
        <w:pStyle w:val="Normal"/>
        <w:rPr>
          <w:rFonts w:ascii="Arial" w:hAnsi="Arial" w:cs="Arial"/>
          <w:b/>
          <w:b/>
          <w:bCs/>
        </w:rPr>
      </w:pPr>
      <w:r>
        <w:rPr>
          <w:rFonts w:cs="Arial" w:ascii="Arial" w:hAnsi="Arial"/>
          <w:b/>
          <w:bCs/>
        </w:rPr>
      </w:r>
    </w:p>
    <w:p>
      <w:pPr>
        <w:pStyle w:val="Normal"/>
        <w:rPr>
          <w:rFonts w:ascii="Arial" w:hAnsi="Arial" w:cs="Arial"/>
          <w:b/>
          <w:b/>
          <w:bCs/>
        </w:rPr>
      </w:pPr>
      <w:r>
        <w:rPr>
          <w:rFonts w:cs="Arial" w:ascii="Arial" w:hAnsi="Arial"/>
          <w:b/>
          <w:bCs/>
        </w:rPr>
      </w:r>
    </w:p>
    <w:p>
      <w:pPr>
        <w:pStyle w:val="Normal"/>
        <w:rPr>
          <w:rFonts w:ascii="Arial" w:hAnsi="Arial" w:cs="Arial"/>
          <w:b/>
          <w:b/>
          <w:bCs/>
        </w:rPr>
      </w:pPr>
      <w:r>
        <w:rPr>
          <w:rFonts w:cs="Arial" w:ascii="Arial" w:hAnsi="Arial"/>
          <w:b/>
          <w:bCs/>
        </w:rPr>
        <w:t>DOMUS DOMICILIO</w:t>
      </w:r>
    </w:p>
    <w:p>
      <w:pPr>
        <w:pStyle w:val="Normal"/>
        <w:rPr>
          <w:rFonts w:ascii="Arial" w:hAnsi="Arial" w:cs="Arial"/>
          <w:b/>
          <w:b/>
          <w:bCs/>
        </w:rPr>
      </w:pPr>
      <w:r>
        <w:rPr>
          <w:rFonts w:cs="Arial" w:ascii="Arial" w:hAnsi="Arial"/>
          <w:b/>
          <w:bCs/>
        </w:rPr>
      </w:r>
    </w:p>
    <w:p>
      <w:pPr>
        <w:pStyle w:val="Normal"/>
        <w:rPr>
          <w:rFonts w:ascii="Arial" w:hAnsi="Arial" w:cs="Arial"/>
        </w:rPr>
      </w:pPr>
      <w:r>
        <w:rPr>
          <w:rFonts w:cs="Arial" w:ascii="Arial" w:hAnsi="Arial"/>
          <w:b/>
          <w:bCs/>
        </w:rPr>
        <w:t xml:space="preserve">Capacidad para atender 10 pacientes diarios </w:t>
      </w:r>
      <w:r>
        <w:rPr>
          <w:rFonts w:cs="Arial" w:ascii="Arial" w:hAnsi="Arial"/>
        </w:rPr>
        <w:t>(la disponibilidad puede verse reducida en función de la dispersión geográfica</w:t>
      </w:r>
      <w:r>
        <w:rPr>
          <w:rFonts w:cs="Arial" w:ascii="Arial" w:hAnsi="Arial"/>
          <w:vertAlign w:val="superscript"/>
        </w:rPr>
        <w:t>*</w:t>
      </w:r>
      <w:r>
        <w:rPr>
          <w:rFonts w:cs="Arial" w:ascii="Arial" w:hAnsi="Arial"/>
        </w:rPr>
        <w:t xml:space="preserve">) </w:t>
      </w:r>
    </w:p>
    <w:p>
      <w:pPr>
        <w:pStyle w:val="Normal"/>
        <w:rPr>
          <w:rFonts w:ascii="Arial" w:hAnsi="Arial" w:cs="Arial"/>
          <w:sz w:val="20"/>
          <w:szCs w:val="20"/>
        </w:rPr>
      </w:pPr>
      <w:r>
        <w:rPr>
          <w:rFonts w:cs="Arial" w:ascii="Arial" w:hAnsi="Arial"/>
          <w:sz w:val="20"/>
          <w:szCs w:val="20"/>
        </w:rPr>
        <w:t>* Los pacientes con domicilio  muy alejado del centro de la ciudad ocupan dos huecos</w:t>
      </w:r>
    </w:p>
    <w:p>
      <w:pPr>
        <w:pStyle w:val="Normal"/>
        <w:rPr>
          <w:rFonts w:ascii="Arial" w:hAnsi="Arial" w:cs="Arial"/>
        </w:rPr>
      </w:pPr>
      <w:r>
        <w:rPr>
          <w:rFonts w:cs="Arial" w:ascii="Arial" w:hAnsi="Arial"/>
        </w:rPr>
      </w:r>
    </w:p>
    <w:p>
      <w:pPr>
        <w:pStyle w:val="Normal"/>
        <w:rPr>
          <w:rFonts w:ascii="Arial" w:hAnsi="Arial" w:cs="Arial"/>
          <w:b/>
          <w:b/>
          <w:bCs/>
        </w:rPr>
      </w:pPr>
      <w:r>
        <w:rPr>
          <w:rFonts w:cs="Arial" w:ascii="Arial" w:hAnsi="Arial"/>
          <w:b/>
          <w:bCs/>
        </w:rPr>
        <w:t>Funciones del médico solicitante/interconsultor</w:t>
      </w:r>
    </w:p>
    <w:p>
      <w:pPr>
        <w:pStyle w:val="ListParagraph"/>
        <w:numPr>
          <w:ilvl w:val="0"/>
          <w:numId w:val="1"/>
        </w:numPr>
        <w:suppressAutoHyphens w:val="false"/>
        <w:spacing w:lineRule="auto" w:line="259" w:before="0" w:after="160"/>
        <w:contextualSpacing/>
        <w:rPr>
          <w:rFonts w:ascii="Arial" w:hAnsi="Arial" w:cs="Arial"/>
        </w:rPr>
      </w:pPr>
      <w:r>
        <w:rPr>
          <w:rFonts w:cs="Arial" w:ascii="Arial" w:hAnsi="Arial"/>
        </w:rPr>
        <w:t>Solicitud de TADE por la especialidad correspondiente.</w:t>
      </w:r>
    </w:p>
    <w:p>
      <w:pPr>
        <w:pStyle w:val="ListParagraph"/>
        <w:numPr>
          <w:ilvl w:val="0"/>
          <w:numId w:val="1"/>
        </w:numPr>
        <w:suppressAutoHyphens w:val="false"/>
        <w:spacing w:lineRule="auto" w:line="259" w:before="0" w:after="160"/>
        <w:contextualSpacing/>
        <w:rPr>
          <w:rFonts w:ascii="Arial" w:hAnsi="Arial" w:cs="Arial"/>
        </w:rPr>
      </w:pPr>
      <w:r>
        <w:rPr>
          <w:rFonts w:cs="Arial" w:ascii="Arial" w:hAnsi="Arial"/>
        </w:rPr>
        <w:t>Valoración por el interconsultor de EI de los criterios para su inclusión en el programa.</w:t>
      </w:r>
    </w:p>
    <w:p>
      <w:pPr>
        <w:pStyle w:val="ListParagraph"/>
        <w:numPr>
          <w:ilvl w:val="0"/>
          <w:numId w:val="1"/>
        </w:numPr>
        <w:suppressAutoHyphens w:val="false"/>
        <w:spacing w:lineRule="auto" w:line="259" w:before="0" w:after="160"/>
        <w:contextualSpacing/>
        <w:rPr>
          <w:rFonts w:ascii="Arial" w:hAnsi="Arial" w:cs="Arial"/>
        </w:rPr>
      </w:pPr>
      <w:r>
        <w:rPr>
          <w:rFonts w:cs="Arial" w:ascii="Arial" w:hAnsi="Arial"/>
        </w:rPr>
        <w:t>Solicitud de disponibilidad mediante llamada al coodinador (se recomienda anticipar la solicitud).</w:t>
      </w:r>
    </w:p>
    <w:p>
      <w:pPr>
        <w:pStyle w:val="ListParagraph"/>
        <w:numPr>
          <w:ilvl w:val="0"/>
          <w:numId w:val="1"/>
        </w:numPr>
        <w:suppressAutoHyphens w:val="false"/>
        <w:spacing w:lineRule="auto" w:line="259" w:before="0" w:after="160"/>
        <w:contextualSpacing/>
        <w:rPr>
          <w:rFonts w:ascii="Arial" w:hAnsi="Arial" w:cs="Arial"/>
        </w:rPr>
      </w:pPr>
      <w:r>
        <w:rPr>
          <w:rFonts w:cs="Arial" w:ascii="Arial" w:hAnsi="Arial"/>
        </w:rPr>
        <w:t>Cumplimentación del Check-list.</w:t>
      </w:r>
    </w:p>
    <w:p>
      <w:pPr>
        <w:pStyle w:val="ListParagraph"/>
        <w:numPr>
          <w:ilvl w:val="0"/>
          <w:numId w:val="1"/>
        </w:numPr>
        <w:suppressAutoHyphens w:val="false"/>
        <w:spacing w:lineRule="auto" w:line="259" w:before="0" w:after="160"/>
        <w:contextualSpacing/>
        <w:rPr>
          <w:rFonts w:ascii="Arial" w:hAnsi="Arial" w:cs="Arial"/>
        </w:rPr>
      </w:pPr>
      <w:r>
        <w:rPr>
          <w:rFonts w:cs="Arial" w:ascii="Arial" w:hAnsi="Arial"/>
        </w:rPr>
        <w:t>Valoración de acceso vascular y solicitud de inserción de LM antes del alta.</w:t>
      </w:r>
    </w:p>
    <w:p>
      <w:pPr>
        <w:pStyle w:val="Normal"/>
        <w:rPr>
          <w:rFonts w:ascii="Arial" w:hAnsi="Arial" w:cs="Arial"/>
          <w:b/>
          <w:b/>
          <w:bCs/>
        </w:rPr>
      </w:pPr>
      <w:r>
        <w:rPr>
          <w:rFonts w:cs="Arial" w:ascii="Arial" w:hAnsi="Arial"/>
          <w:b/>
          <w:bCs/>
        </w:rPr>
        <w:t>Funciones del coordinador médico</w:t>
      </w:r>
    </w:p>
    <w:p>
      <w:pPr>
        <w:pStyle w:val="ListParagraph"/>
        <w:numPr>
          <w:ilvl w:val="0"/>
          <w:numId w:val="3"/>
        </w:numPr>
        <w:suppressAutoHyphens w:val="false"/>
        <w:spacing w:lineRule="auto" w:line="259" w:before="0" w:after="160"/>
        <w:contextualSpacing/>
        <w:rPr>
          <w:rFonts w:ascii="Arial" w:hAnsi="Arial" w:cs="Arial"/>
        </w:rPr>
      </w:pPr>
      <w:r>
        <w:rPr>
          <w:rFonts w:cs="Arial" w:ascii="Arial" w:hAnsi="Arial"/>
        </w:rPr>
        <w:t>Recepción de las solicitudes de inclusión en el programa y gestión de lista de espera.</w:t>
      </w:r>
    </w:p>
    <w:p>
      <w:pPr>
        <w:pStyle w:val="ListParagraph"/>
        <w:numPr>
          <w:ilvl w:val="0"/>
          <w:numId w:val="3"/>
        </w:numPr>
        <w:suppressAutoHyphens w:val="false"/>
        <w:spacing w:lineRule="auto" w:line="259" w:before="0" w:after="160"/>
        <w:contextualSpacing/>
        <w:rPr>
          <w:rFonts w:ascii="Arial" w:hAnsi="Arial" w:cs="Arial"/>
        </w:rPr>
      </w:pPr>
      <w:r>
        <w:rPr>
          <w:rFonts w:cs="Arial" w:ascii="Arial" w:hAnsi="Arial"/>
        </w:rPr>
        <w:t>Contacto telefónico semanal con los pacientes incluidos en el programa. Revisión de los resultados de los análisis realizados. Complementación de la evolución en historia clínica. (El DOMUS se contempla en la historia digital como un episodio de consulta adscrito a E. Infecciosas. La apertura de ese episodio corresponde al administrativo de la planta de E. Infecciosas).</w:t>
      </w:r>
    </w:p>
    <w:p>
      <w:pPr>
        <w:pStyle w:val="ListParagraph"/>
        <w:numPr>
          <w:ilvl w:val="0"/>
          <w:numId w:val="3"/>
        </w:numPr>
        <w:suppressAutoHyphens w:val="false"/>
        <w:spacing w:lineRule="auto" w:line="259" w:before="0" w:after="160"/>
        <w:contextualSpacing/>
        <w:rPr>
          <w:rFonts w:ascii="Arial" w:hAnsi="Arial" w:cs="Arial"/>
        </w:rPr>
      </w:pPr>
      <w:r>
        <w:rPr>
          <w:rFonts w:cs="Arial" w:ascii="Arial" w:hAnsi="Arial"/>
        </w:rPr>
        <w:t>Resolución de las incidencias notificadas por teléfono por enfermería de DOMUS.</w:t>
      </w:r>
    </w:p>
    <w:p>
      <w:pPr>
        <w:pStyle w:val="ListParagraph"/>
        <w:numPr>
          <w:ilvl w:val="0"/>
          <w:numId w:val="3"/>
        </w:numPr>
        <w:suppressAutoHyphens w:val="false"/>
        <w:spacing w:lineRule="auto" w:line="259" w:before="0" w:after="160"/>
        <w:contextualSpacing/>
        <w:rPr>
          <w:rFonts w:ascii="Arial" w:hAnsi="Arial" w:cs="Arial"/>
        </w:rPr>
      </w:pPr>
      <w:r>
        <w:rPr>
          <w:rFonts w:cs="Arial" w:ascii="Arial" w:hAnsi="Arial"/>
        </w:rPr>
        <w:t>Gestión de valoración presencial hospitalaria si se considera necesario.</w:t>
      </w:r>
    </w:p>
    <w:p>
      <w:pPr>
        <w:pStyle w:val="ListParagraph"/>
        <w:numPr>
          <w:ilvl w:val="0"/>
          <w:numId w:val="3"/>
        </w:numPr>
        <w:suppressAutoHyphens w:val="false"/>
        <w:spacing w:lineRule="auto" w:line="259" w:before="0" w:after="160"/>
        <w:contextualSpacing/>
        <w:rPr>
          <w:rFonts w:ascii="Arial" w:hAnsi="Arial" w:cs="Arial"/>
        </w:rPr>
      </w:pPr>
      <w:r>
        <w:rPr>
          <w:rFonts w:cs="Arial" w:ascii="Arial" w:hAnsi="Arial"/>
        </w:rPr>
        <w:t>Gestión del reingreso de los pacientes con complicaciones o con fallo de tratamiento. (Aunque el acuerdo es que los pacientes reingresen en el servicio que solicitó DOMUS, lo habitual es que ingresen a cargo de E. Infecciosas).</w:t>
      </w:r>
    </w:p>
    <w:p>
      <w:pPr>
        <w:pStyle w:val="Normal"/>
        <w:rPr>
          <w:rFonts w:ascii="Arial" w:hAnsi="Arial" w:cs="Arial"/>
          <w:b/>
          <w:b/>
          <w:bCs/>
        </w:rPr>
      </w:pPr>
      <w:r>
        <w:rPr>
          <w:rFonts w:cs="Arial" w:ascii="Arial" w:hAnsi="Arial"/>
          <w:b/>
          <w:bCs/>
        </w:rPr>
        <w:t>Funciones de enfermería</w:t>
      </w:r>
    </w:p>
    <w:p>
      <w:pPr>
        <w:pStyle w:val="ListParagraph"/>
        <w:numPr>
          <w:ilvl w:val="0"/>
          <w:numId w:val="2"/>
        </w:numPr>
        <w:suppressAutoHyphens w:val="false"/>
        <w:spacing w:lineRule="auto" w:line="259" w:before="0" w:after="160"/>
        <w:contextualSpacing/>
        <w:rPr>
          <w:rFonts w:ascii="Arial" w:hAnsi="Arial" w:cs="Arial"/>
        </w:rPr>
      </w:pPr>
      <w:r>
        <w:rPr>
          <w:rFonts w:cs="Arial" w:ascii="Arial" w:hAnsi="Arial"/>
        </w:rPr>
        <w:t xml:space="preserve">Visita por enfermería de DOMUS domicilio para explicar el programa, comprobación de requisitos y autonomía del paciente o disponibilidad del cudidador, firma del consentimiento informado y colocación de la bomba. </w:t>
      </w:r>
    </w:p>
    <w:p>
      <w:pPr>
        <w:pStyle w:val="ListParagraph"/>
        <w:numPr>
          <w:ilvl w:val="0"/>
          <w:numId w:val="2"/>
        </w:numPr>
        <w:suppressAutoHyphens w:val="false"/>
        <w:spacing w:lineRule="auto" w:line="259" w:before="0" w:after="160"/>
        <w:contextualSpacing/>
        <w:rPr>
          <w:rFonts w:ascii="Arial" w:hAnsi="Arial" w:cs="Arial"/>
        </w:rPr>
      </w:pPr>
      <w:r>
        <w:rPr>
          <w:rFonts w:cs="Arial" w:ascii="Arial" w:hAnsi="Arial"/>
        </w:rPr>
        <w:t>Cumplimentación del formulario de solicitud de medicación para Farmacia.</w:t>
      </w:r>
    </w:p>
    <w:p>
      <w:pPr>
        <w:pStyle w:val="ListParagraph"/>
        <w:numPr>
          <w:ilvl w:val="0"/>
          <w:numId w:val="2"/>
        </w:numPr>
        <w:suppressAutoHyphens w:val="false"/>
        <w:spacing w:lineRule="auto" w:line="259" w:before="0" w:after="160"/>
        <w:contextualSpacing/>
        <w:rPr>
          <w:rFonts w:ascii="Arial" w:hAnsi="Arial" w:cs="Arial"/>
        </w:rPr>
      </w:pPr>
      <w:r>
        <w:rPr>
          <w:rFonts w:cs="Arial" w:ascii="Arial" w:hAnsi="Arial"/>
        </w:rPr>
        <w:t>Recogida de la medicación en Farmacia.</w:t>
      </w:r>
    </w:p>
    <w:p>
      <w:pPr>
        <w:pStyle w:val="ListParagraph"/>
        <w:numPr>
          <w:ilvl w:val="0"/>
          <w:numId w:val="2"/>
        </w:numPr>
        <w:suppressAutoHyphens w:val="false"/>
        <w:spacing w:lineRule="auto" w:line="259" w:before="0" w:after="160"/>
        <w:contextualSpacing/>
        <w:rPr>
          <w:rFonts w:ascii="Arial" w:hAnsi="Arial" w:cs="Arial"/>
        </w:rPr>
      </w:pPr>
      <w:r>
        <w:rPr>
          <w:rFonts w:cs="Arial" w:ascii="Arial" w:hAnsi="Arial"/>
        </w:rPr>
        <w:t>Planificación del recorrido. Contacto telefónico con los pacientes si hay retrasos sobre el horario previsto.</w:t>
      </w:r>
    </w:p>
    <w:p>
      <w:pPr>
        <w:pStyle w:val="ListParagraph"/>
        <w:numPr>
          <w:ilvl w:val="0"/>
          <w:numId w:val="2"/>
        </w:numPr>
        <w:suppressAutoHyphens w:val="false"/>
        <w:spacing w:lineRule="auto" w:line="259" w:before="0" w:after="160"/>
        <w:contextualSpacing/>
        <w:rPr>
          <w:rFonts w:ascii="Arial" w:hAnsi="Arial" w:cs="Arial"/>
        </w:rPr>
      </w:pPr>
      <w:r>
        <w:rPr>
          <w:rFonts w:cs="Arial" w:ascii="Arial" w:hAnsi="Arial"/>
        </w:rPr>
        <w:t>Administración de medicación y resolución de incidencias. Contacto telefónico con coordinador o médico responsable si fuese necesario.</w:t>
      </w:r>
    </w:p>
    <w:p>
      <w:pPr>
        <w:pStyle w:val="ListParagraph"/>
        <w:numPr>
          <w:ilvl w:val="0"/>
          <w:numId w:val="2"/>
        </w:numPr>
        <w:suppressAutoHyphens w:val="false"/>
        <w:spacing w:lineRule="auto" w:line="259" w:before="0" w:after="160"/>
        <w:contextualSpacing/>
        <w:rPr>
          <w:rFonts w:ascii="Arial" w:hAnsi="Arial" w:cs="Arial"/>
        </w:rPr>
      </w:pPr>
      <w:r>
        <w:rPr>
          <w:rFonts w:cs="Arial" w:ascii="Arial" w:hAnsi="Arial"/>
        </w:rPr>
        <w:t>Extracción de muestras para análisis (una vez por semana) o hemocultivos si fuese necesario.</w:t>
      </w:r>
    </w:p>
    <w:p>
      <w:pPr>
        <w:pStyle w:val="ListParagraph"/>
        <w:numPr>
          <w:ilvl w:val="0"/>
          <w:numId w:val="2"/>
        </w:numPr>
        <w:suppressAutoHyphens w:val="false"/>
        <w:spacing w:lineRule="auto" w:line="259" w:before="0" w:after="160"/>
        <w:contextualSpacing/>
        <w:rPr>
          <w:rFonts w:ascii="Arial" w:hAnsi="Arial" w:cs="Arial"/>
        </w:rPr>
      </w:pPr>
      <w:r>
        <w:rPr>
          <w:rFonts w:cs="Arial" w:ascii="Arial" w:hAnsi="Arial"/>
        </w:rPr>
        <w:t>Primera visita a las nuevas inclusiones de pacientes hospitalizados. Canalización de LM si fuese necesario. Si el paciente recibe antibiótico una vez al día, la primera visita se realiza en el domicilio.</w:t>
      </w:r>
    </w:p>
    <w:p>
      <w:pPr>
        <w:pStyle w:val="ListParagraph"/>
        <w:numPr>
          <w:ilvl w:val="0"/>
          <w:numId w:val="2"/>
        </w:numPr>
        <w:suppressAutoHyphens w:val="false"/>
        <w:spacing w:lineRule="auto" w:line="259" w:before="0" w:after="160"/>
        <w:contextualSpacing/>
        <w:rPr>
          <w:rFonts w:ascii="Arial" w:hAnsi="Arial" w:cs="Arial"/>
        </w:rPr>
      </w:pPr>
      <w:r>
        <w:rPr>
          <w:rFonts w:cs="Arial" w:ascii="Arial" w:hAnsi="Arial"/>
        </w:rPr>
        <w:t>Cumplimentación de la base de datos.</w:t>
      </w:r>
    </w:p>
    <w:p>
      <w:pPr>
        <w:pStyle w:val="Normal"/>
        <w:rPr>
          <w:rFonts w:ascii="Arial" w:hAnsi="Arial" w:cs="Arial"/>
          <w:b/>
          <w:b/>
          <w:bCs/>
        </w:rPr>
      </w:pPr>
      <w:r>
        <w:rPr>
          <w:rFonts w:cs="Arial" w:ascii="Arial" w:hAnsi="Arial"/>
          <w:b/>
          <w:bCs/>
        </w:rPr>
        <w:t>Funciones del Servicio de Farmacia</w:t>
      </w:r>
    </w:p>
    <w:p>
      <w:pPr>
        <w:pStyle w:val="ListParagraph"/>
        <w:numPr>
          <w:ilvl w:val="0"/>
          <w:numId w:val="4"/>
        </w:numPr>
        <w:suppressAutoHyphens w:val="false"/>
        <w:spacing w:lineRule="auto" w:line="259" w:before="0" w:after="160"/>
        <w:contextualSpacing/>
        <w:rPr>
          <w:rFonts w:ascii="Arial" w:hAnsi="Arial" w:cs="Arial"/>
        </w:rPr>
      </w:pPr>
      <w:r>
        <w:rPr>
          <w:rFonts w:cs="Arial" w:ascii="Arial" w:hAnsi="Arial"/>
        </w:rPr>
        <w:t>Recepción de solicitudes de tratamiento.</w:t>
      </w:r>
    </w:p>
    <w:p>
      <w:pPr>
        <w:pStyle w:val="ListParagraph"/>
        <w:numPr>
          <w:ilvl w:val="0"/>
          <w:numId w:val="4"/>
        </w:numPr>
        <w:suppressAutoHyphens w:val="false"/>
        <w:spacing w:lineRule="auto" w:line="259" w:before="0" w:after="160"/>
        <w:contextualSpacing/>
        <w:rPr>
          <w:rFonts w:ascii="Arial" w:hAnsi="Arial" w:cs="Arial"/>
        </w:rPr>
      </w:pPr>
      <w:r>
        <w:rPr>
          <w:rFonts w:cs="Arial" w:ascii="Arial" w:hAnsi="Arial"/>
        </w:rPr>
        <w:t>Valoración de los tratamientos: fármacos, posología, interacciones.</w:t>
      </w:r>
    </w:p>
    <w:p>
      <w:pPr>
        <w:pStyle w:val="ListParagraph"/>
        <w:numPr>
          <w:ilvl w:val="0"/>
          <w:numId w:val="4"/>
        </w:numPr>
        <w:suppressAutoHyphens w:val="false"/>
        <w:spacing w:lineRule="auto" w:line="259" w:before="0" w:after="160"/>
        <w:contextualSpacing/>
        <w:rPr>
          <w:rFonts w:ascii="Arial" w:hAnsi="Arial" w:cs="Arial"/>
        </w:rPr>
      </w:pPr>
      <w:r>
        <w:rPr>
          <w:rFonts w:cs="Arial" w:ascii="Arial" w:hAnsi="Arial"/>
        </w:rPr>
        <w:t>Preparación de las disoluciones.</w:t>
      </w:r>
    </w:p>
    <w:p>
      <w:pPr>
        <w:pStyle w:val="Normal"/>
        <w:rPr>
          <w:rFonts w:ascii="Arial" w:hAnsi="Arial" w:cs="Arial"/>
          <w:b/>
          <w:b/>
          <w:bCs/>
        </w:rPr>
      </w:pPr>
      <w:r>
        <w:rPr>
          <w:rFonts w:cs="Arial" w:ascii="Arial" w:hAnsi="Arial"/>
          <w:b/>
          <w:bCs/>
        </w:rPr>
      </w:r>
    </w:p>
    <w:p>
      <w:pPr>
        <w:pStyle w:val="Normal"/>
        <w:rPr>
          <w:rFonts w:ascii="Arial" w:hAnsi="Arial" w:cs="Arial"/>
          <w:b/>
          <w:b/>
          <w:bCs/>
        </w:rPr>
      </w:pPr>
      <w:r>
        <w:rPr>
          <w:rFonts w:cs="Arial" w:ascii="Arial" w:hAnsi="Arial"/>
          <w:b/>
          <w:bCs/>
        </w:rPr>
        <w:t>DOMUS HOSPITAL</w:t>
      </w:r>
    </w:p>
    <w:p>
      <w:pPr>
        <w:pStyle w:val="Normal"/>
        <w:rPr>
          <w:rFonts w:ascii="Arial" w:hAnsi="Arial" w:cs="Arial"/>
          <w:b/>
          <w:b/>
          <w:bCs/>
        </w:rPr>
      </w:pPr>
      <w:r>
        <w:rPr>
          <w:rFonts w:cs="Arial" w:ascii="Arial" w:hAnsi="Arial"/>
          <w:b/>
          <w:bCs/>
        </w:rPr>
        <w:t>Capacidad para atender 4 pacientes diarios</w:t>
      </w:r>
    </w:p>
    <w:p>
      <w:pPr>
        <w:pStyle w:val="Normal"/>
        <w:rPr>
          <w:rFonts w:ascii="Arial" w:hAnsi="Arial" w:cs="Arial"/>
          <w:b/>
          <w:b/>
          <w:bCs/>
        </w:rPr>
      </w:pPr>
      <w:r>
        <w:rPr>
          <w:rFonts w:cs="Arial" w:ascii="Arial" w:hAnsi="Arial"/>
          <w:b/>
          <w:bCs/>
        </w:rPr>
      </w:r>
    </w:p>
    <w:p>
      <w:pPr>
        <w:pStyle w:val="Normal"/>
        <w:rPr>
          <w:rFonts w:ascii="Arial" w:hAnsi="Arial" w:cs="Arial"/>
          <w:b/>
          <w:b/>
          <w:bCs/>
        </w:rPr>
      </w:pPr>
      <w:r>
        <w:rPr>
          <w:rFonts w:cs="Arial" w:ascii="Arial" w:hAnsi="Arial"/>
          <w:b/>
          <w:bCs/>
        </w:rPr>
        <w:t>Funciones del médico solicitante/interconsultor</w:t>
      </w:r>
    </w:p>
    <w:p>
      <w:pPr>
        <w:pStyle w:val="ListParagraph"/>
        <w:numPr>
          <w:ilvl w:val="0"/>
          <w:numId w:val="1"/>
        </w:numPr>
        <w:suppressAutoHyphens w:val="false"/>
        <w:spacing w:lineRule="auto" w:line="259" w:before="0" w:after="160"/>
        <w:contextualSpacing/>
        <w:rPr>
          <w:rFonts w:ascii="Arial" w:hAnsi="Arial" w:cs="Arial"/>
        </w:rPr>
      </w:pPr>
      <w:r>
        <w:rPr>
          <w:rFonts w:cs="Arial" w:ascii="Arial" w:hAnsi="Arial"/>
        </w:rPr>
        <w:t>Solicitud de TADE por la especialidad correspondiente.</w:t>
      </w:r>
    </w:p>
    <w:p>
      <w:pPr>
        <w:pStyle w:val="ListParagraph"/>
        <w:numPr>
          <w:ilvl w:val="0"/>
          <w:numId w:val="1"/>
        </w:numPr>
        <w:suppressAutoHyphens w:val="false"/>
        <w:spacing w:lineRule="auto" w:line="259" w:before="0" w:after="160"/>
        <w:contextualSpacing/>
        <w:rPr>
          <w:rFonts w:ascii="Arial" w:hAnsi="Arial" w:cs="Arial"/>
        </w:rPr>
      </w:pPr>
      <w:r>
        <w:rPr>
          <w:rFonts w:cs="Arial" w:ascii="Arial" w:hAnsi="Arial"/>
        </w:rPr>
        <w:t>Valoración por el interconsultor de EI de los criterios para su inclusión en el programa.</w:t>
      </w:r>
    </w:p>
    <w:p>
      <w:pPr>
        <w:pStyle w:val="ListParagraph"/>
        <w:numPr>
          <w:ilvl w:val="0"/>
          <w:numId w:val="1"/>
        </w:numPr>
        <w:suppressAutoHyphens w:val="false"/>
        <w:spacing w:lineRule="auto" w:line="259" w:before="0" w:after="160"/>
        <w:contextualSpacing/>
        <w:rPr>
          <w:rFonts w:ascii="Arial" w:hAnsi="Arial" w:cs="Arial"/>
        </w:rPr>
      </w:pPr>
      <w:r>
        <w:rPr>
          <w:rFonts w:cs="Arial" w:ascii="Arial" w:hAnsi="Arial"/>
        </w:rPr>
        <w:t>Solicitud de disponibilidad mediante llamada al coodinador (se recomienda anticipar la solicitud).</w:t>
      </w:r>
    </w:p>
    <w:p>
      <w:pPr>
        <w:pStyle w:val="ListParagraph"/>
        <w:numPr>
          <w:ilvl w:val="0"/>
          <w:numId w:val="1"/>
        </w:numPr>
        <w:suppressAutoHyphens w:val="false"/>
        <w:spacing w:lineRule="auto" w:line="259" w:before="0" w:after="160"/>
        <w:contextualSpacing/>
        <w:rPr>
          <w:rFonts w:ascii="Arial" w:hAnsi="Arial" w:cs="Arial"/>
        </w:rPr>
      </w:pPr>
      <w:r>
        <w:rPr>
          <w:rFonts w:cs="Arial" w:ascii="Arial" w:hAnsi="Arial"/>
        </w:rPr>
        <w:t>Cumplimentación del Check-list.</w:t>
      </w:r>
    </w:p>
    <w:p>
      <w:pPr>
        <w:pStyle w:val="ListParagraph"/>
        <w:numPr>
          <w:ilvl w:val="0"/>
          <w:numId w:val="1"/>
        </w:numPr>
        <w:suppressAutoHyphens w:val="false"/>
        <w:spacing w:lineRule="auto" w:line="259" w:before="0" w:after="160"/>
        <w:contextualSpacing/>
        <w:rPr>
          <w:rFonts w:ascii="Arial" w:hAnsi="Arial" w:cs="Arial"/>
        </w:rPr>
      </w:pPr>
      <w:r>
        <w:rPr>
          <w:rFonts w:cs="Arial" w:ascii="Arial" w:hAnsi="Arial"/>
        </w:rPr>
        <w:t>Valoración de acceso vascular y solicitud de inserción de LM antes del alta.</w:t>
      </w:r>
    </w:p>
    <w:p>
      <w:pPr>
        <w:pStyle w:val="Normal"/>
        <w:rPr>
          <w:rFonts w:ascii="Arial" w:hAnsi="Arial" w:cs="Arial"/>
          <w:b/>
          <w:b/>
          <w:bCs/>
        </w:rPr>
      </w:pPr>
      <w:r>
        <w:rPr>
          <w:rFonts w:cs="Arial" w:ascii="Arial" w:hAnsi="Arial"/>
          <w:b/>
          <w:bCs/>
        </w:rPr>
        <w:t>Funciones del coordinador médico</w:t>
      </w:r>
    </w:p>
    <w:p>
      <w:pPr>
        <w:pStyle w:val="ListParagraph"/>
        <w:numPr>
          <w:ilvl w:val="0"/>
          <w:numId w:val="3"/>
        </w:numPr>
        <w:suppressAutoHyphens w:val="false"/>
        <w:spacing w:lineRule="auto" w:line="259" w:before="0" w:after="160"/>
        <w:contextualSpacing/>
        <w:rPr>
          <w:rFonts w:ascii="Arial" w:hAnsi="Arial" w:cs="Arial"/>
        </w:rPr>
      </w:pPr>
      <w:r>
        <w:rPr>
          <w:rFonts w:cs="Arial" w:ascii="Arial" w:hAnsi="Arial"/>
        </w:rPr>
        <w:t>Recepción de las solicitudes de inclusión en el programa y gestión de lista de espera.</w:t>
      </w:r>
    </w:p>
    <w:p>
      <w:pPr>
        <w:pStyle w:val="ListParagraph"/>
        <w:numPr>
          <w:ilvl w:val="0"/>
          <w:numId w:val="3"/>
        </w:numPr>
        <w:suppressAutoHyphens w:val="false"/>
        <w:spacing w:lineRule="auto" w:line="259" w:before="0" w:after="160"/>
        <w:contextualSpacing/>
        <w:rPr>
          <w:rFonts w:ascii="Arial" w:hAnsi="Arial" w:cs="Arial"/>
        </w:rPr>
      </w:pPr>
      <w:r>
        <w:rPr>
          <w:rFonts w:cs="Arial" w:ascii="Arial" w:hAnsi="Arial"/>
        </w:rPr>
        <w:t>Gestión de valoración presencial hospitalaria si se considera necesario.</w:t>
      </w:r>
    </w:p>
    <w:p>
      <w:pPr>
        <w:pStyle w:val="Normal"/>
        <w:rPr>
          <w:rFonts w:ascii="Arial" w:hAnsi="Arial" w:cs="Arial"/>
          <w:b/>
          <w:b/>
          <w:bCs/>
        </w:rPr>
      </w:pPr>
      <w:r>
        <w:rPr>
          <w:rFonts w:cs="Arial" w:ascii="Arial" w:hAnsi="Arial"/>
          <w:b/>
          <w:bCs/>
        </w:rPr>
        <w:t>Funciones de enfermería</w:t>
      </w:r>
    </w:p>
    <w:p>
      <w:pPr>
        <w:pStyle w:val="ListParagraph"/>
        <w:numPr>
          <w:ilvl w:val="0"/>
          <w:numId w:val="5"/>
        </w:numPr>
        <w:suppressAutoHyphens w:val="false"/>
        <w:spacing w:lineRule="auto" w:line="259" w:before="0" w:after="160"/>
        <w:contextualSpacing/>
        <w:rPr>
          <w:rFonts w:ascii="Arial" w:hAnsi="Arial" w:cs="Arial"/>
        </w:rPr>
      </w:pPr>
      <w:r>
        <w:rPr>
          <w:rFonts w:cs="Arial" w:ascii="Arial" w:hAnsi="Arial"/>
        </w:rPr>
        <w:t>Recepción del paciente en la sala destinada a la administración de medicamentos.</w:t>
      </w:r>
    </w:p>
    <w:p>
      <w:pPr>
        <w:pStyle w:val="ListParagraph"/>
        <w:numPr>
          <w:ilvl w:val="0"/>
          <w:numId w:val="5"/>
        </w:numPr>
        <w:suppressAutoHyphens w:val="false"/>
        <w:spacing w:lineRule="auto" w:line="259" w:before="0" w:after="160"/>
        <w:contextualSpacing/>
        <w:rPr>
          <w:rFonts w:ascii="Arial" w:hAnsi="Arial" w:cs="Arial"/>
        </w:rPr>
      </w:pPr>
      <w:r>
        <w:rPr>
          <w:rFonts w:cs="Arial" w:ascii="Arial" w:hAnsi="Arial"/>
        </w:rPr>
        <w:t>Recogida de tratamientos por el celador de la planta.</w:t>
      </w:r>
    </w:p>
    <w:p>
      <w:pPr>
        <w:pStyle w:val="ListParagraph"/>
        <w:numPr>
          <w:ilvl w:val="0"/>
          <w:numId w:val="5"/>
        </w:numPr>
        <w:suppressAutoHyphens w:val="false"/>
        <w:spacing w:lineRule="auto" w:line="259" w:before="0" w:after="160"/>
        <w:contextualSpacing/>
        <w:rPr>
          <w:rFonts w:ascii="Arial" w:hAnsi="Arial" w:cs="Arial"/>
        </w:rPr>
      </w:pPr>
      <w:r>
        <w:rPr>
          <w:rFonts w:cs="Arial" w:ascii="Arial" w:hAnsi="Arial"/>
        </w:rPr>
        <w:t>Valoración de incidencias. Si fuese necesario, valoración presencial por el coordinador del programa o del médico responsable.</w:t>
      </w:r>
    </w:p>
    <w:p>
      <w:pPr>
        <w:pStyle w:val="ListParagraph"/>
        <w:numPr>
          <w:ilvl w:val="0"/>
          <w:numId w:val="5"/>
        </w:numPr>
        <w:suppressAutoHyphens w:val="false"/>
        <w:spacing w:lineRule="auto" w:line="259" w:before="0" w:after="160"/>
        <w:contextualSpacing/>
        <w:rPr>
          <w:rFonts w:ascii="Arial" w:hAnsi="Arial" w:cs="Arial"/>
        </w:rPr>
      </w:pPr>
      <w:r>
        <w:rPr>
          <w:rFonts w:cs="Arial" w:ascii="Arial" w:hAnsi="Arial"/>
        </w:rPr>
        <w:t>Cumplimentación de base de datos.</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Calibri" w:hAnsi="Calibri" w:asciiTheme="minorHAnsi" w:hAnsiTheme="minorHAnsi"/>
          <w:b/>
          <w:b/>
          <w:bCs/>
          <w:lang w:val="es-ES_tradnl"/>
        </w:rPr>
      </w:pPr>
      <w:r>
        <w:rPr/>
      </w:r>
    </w:p>
    <w:sectPr>
      <w:headerReference w:type="even" r:id="rId2"/>
      <w:headerReference w:type="default" r:id="rId3"/>
      <w:headerReference w:type="first" r:id="rId4"/>
      <w:footerReference w:type="default" r:id="rId5"/>
      <w:type w:val="nextPage"/>
      <w:pgSz w:w="11906" w:h="16838"/>
      <w:pgMar w:left="1080" w:right="1080" w:gutter="0" w:header="510" w:top="1440" w:footer="708"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pPr>
    <w:r>
      <w:rPr/>
      <w:drawing>
        <wp:inline distT="0" distB="0" distL="0" distR="0">
          <wp:extent cx="2105025" cy="592455"/>
          <wp:effectExtent l="0" t="0" r="0" b="0"/>
          <wp:docPr id="8" name="Imagen 1" descr="F:\logos\Domus positiv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F:\logos\Domus positivo (1).jpg"/>
                  <pic:cNvPicPr>
                    <a:picLocks noChangeAspect="1" noChangeArrowheads="1"/>
                  </pic:cNvPicPr>
                </pic:nvPicPr>
                <pic:blipFill>
                  <a:blip r:embed="rId1"/>
                  <a:stretch>
                    <a:fillRect/>
                  </a:stretch>
                </pic:blipFill>
                <pic:spPr bwMode="auto">
                  <a:xfrm>
                    <a:off x="0" y="0"/>
                    <a:ext cx="2105025" cy="592455"/>
                  </a:xfrm>
                  <a:prstGeom prst="rect">
                    <a:avLst/>
                  </a:prstGeom>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w:rPr/>
      <mc:AlternateContent>
        <mc:Choice Requires="wps">
          <w:drawing>
            <wp:anchor behindDoc="1" distT="0" distB="0" distL="0" distR="0" simplePos="0" locked="0" layoutInCell="0" allowOverlap="1" relativeHeight="3">
              <wp:simplePos x="0" y="0"/>
              <wp:positionH relativeFrom="margin">
                <wp:align>center</wp:align>
              </wp:positionH>
              <wp:positionV relativeFrom="margin">
                <wp:align>center</wp:align>
              </wp:positionV>
              <wp:extent cx="5399405" cy="6931025"/>
              <wp:effectExtent l="0" t="0" r="0" b="0"/>
              <wp:wrapNone/>
              <wp:docPr id="1" name="WordPictureWatermark1795463"/>
              <a:graphic xmlns:a="http://schemas.openxmlformats.org/drawingml/2006/main">
                <a:graphicData uri="http://schemas.openxmlformats.org/drawingml/2006/picture">
                  <pic:pic xmlns:pic="http://schemas.openxmlformats.org/drawingml/2006/picture">
                    <pic:nvPicPr>
                      <pic:cNvPr id="0" name="WordPictureWatermark1795463" descr=""/>
                      <pic:cNvPicPr/>
                    </pic:nvPicPr>
                    <pic:blipFill>
                      <a:blip r:embed="rId1">
                        <a:lum bright="70000" contrast="-70000"/>
                      </a:blip>
                      <a:stretch/>
                    </pic:blipFill>
                    <pic:spPr>
                      <a:xfrm>
                        <a:off x="0" y="0"/>
                        <a:ext cx="5399280" cy="693108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5463" o:spid="shape_0" stroked="f" o:allowincell="f" style="position:absolute;margin-left:0.05pt;margin-top:0pt;width:425.1pt;height:545.7pt;mso-wrap-style:none;v-text-anchor:middle;mso-position-horizontal:center;mso-position-horizontal-relative:margin;mso-position-vertical:center;mso-position-vertical-relative:margin" type="_x0000_t75">
              <v:imagedata r:id="rId1" o:detectmouseclick="t"/>
              <v:stroke color="#3465a4" joinstyle="round" endcap="flat"/>
              <w10:wrap type="none"/>
            </v:shape>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mc:AlternateContent>
        <mc:Choice Requires="wps">
          <w:drawing>
            <wp:anchor behindDoc="1" distT="0" distB="0" distL="0" distR="0" simplePos="0" locked="0" layoutInCell="0" allowOverlap="1" relativeHeight="5">
              <wp:simplePos x="0" y="0"/>
              <wp:positionH relativeFrom="margin">
                <wp:align>center</wp:align>
              </wp:positionH>
              <wp:positionV relativeFrom="margin">
                <wp:align>center</wp:align>
              </wp:positionV>
              <wp:extent cx="5399405" cy="6931025"/>
              <wp:effectExtent l="0" t="0" r="0" b="0"/>
              <wp:wrapNone/>
              <wp:docPr id="2" name="WordPictureWatermark1795464"/>
              <a:graphic xmlns:a="http://schemas.openxmlformats.org/drawingml/2006/main">
                <a:graphicData uri="http://schemas.openxmlformats.org/drawingml/2006/picture">
                  <pic:pic xmlns:pic="http://schemas.openxmlformats.org/drawingml/2006/picture">
                    <pic:nvPicPr>
                      <pic:cNvPr id="1" name="WordPictureWatermark1795464" descr=""/>
                      <pic:cNvPicPr/>
                    </pic:nvPicPr>
                    <pic:blipFill>
                      <a:blip r:embed="rId1">
                        <a:lum bright="70000" contrast="-70000"/>
                      </a:blip>
                      <a:stretch/>
                    </pic:blipFill>
                    <pic:spPr>
                      <a:xfrm>
                        <a:off x="0" y="0"/>
                        <a:ext cx="5399280" cy="6931080"/>
                      </a:xfrm>
                      <a:prstGeom prst="rect">
                        <a:avLst/>
                      </a:prstGeom>
                      <a:ln w="0">
                        <a:noFill/>
                      </a:ln>
                    </pic:spPr>
                  </pic:pic>
                </a:graphicData>
              </a:graphic>
            </wp:anchor>
          </w:drawing>
        </mc:Choice>
        <mc:Fallback>
          <w:pict>
            <v:shape id="WordPictureWatermark1795464" o:spid="shape_0" stroked="f" o:allowincell="f" style="position:absolute;margin-left:31.05pt;margin-top:71pt;width:425.1pt;height:545.7pt;mso-wrap-style:none;v-text-anchor:middle;mso-position-horizontal:center;mso-position-horizontal-relative:margin;mso-position-vertical:center;mso-position-vertical-relative:margin" type="_x0000_t75">
              <v:imagedata r:id="rId1" o:detectmouseclick="t"/>
              <v:stroke color="#3465a4" joinstyle="round" endcap="flat"/>
              <w10:wrap type="none"/>
            </v:shape>
          </w:pict>
        </mc:Fallback>
      </mc:AlternateContent>
    </w:r>
    <w:r>
      <w:rPr/>
      <w:tab/>
    </w:r>
    <w:r>
      <w:rPr/>
      <w:drawing>
        <wp:inline distT="0" distB="0" distL="0" distR="0">
          <wp:extent cx="2847975" cy="459105"/>
          <wp:effectExtent l="0" t="0" r="0" b="0"/>
          <wp:docPr id="3" name="Imagen 3" descr="F:\logos\consejeria1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logos\consejeria1verde.png"/>
                  <pic:cNvPicPr>
                    <a:picLocks noChangeAspect="1" noChangeArrowheads="1"/>
                  </pic:cNvPicPr>
                </pic:nvPicPr>
                <pic:blipFill>
                  <a:blip r:embed="rId2"/>
                  <a:stretch>
                    <a:fillRect/>
                  </a:stretch>
                </pic:blipFill>
                <pic:spPr bwMode="auto">
                  <a:xfrm>
                    <a:off x="0" y="0"/>
                    <a:ext cx="2847975" cy="459105"/>
                  </a:xfrm>
                  <a:prstGeom prst="rect">
                    <a:avLst/>
                  </a:prstGeom>
                </pic:spPr>
              </pic:pic>
            </a:graphicData>
          </a:graphic>
        </wp:inline>
      </w:drawing>
    </w:r>
    <w:r>
      <w:rPr/>
      <w:t xml:space="preserve">                       </w:t>
    </w:r>
    <w:r>
      <w:rPr/>
      <w:drawing>
        <wp:inline distT="0" distB="0" distL="0" distR="0">
          <wp:extent cx="2388870" cy="332105"/>
          <wp:effectExtent l="0" t="0" r="0" b="0"/>
          <wp:docPr id="4" name="Imagen 2" descr="F:\logos\hospitales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descr="F:\logos\hospitalesverde.png"/>
                  <pic:cNvPicPr>
                    <a:picLocks noChangeAspect="1" noChangeArrowheads="1"/>
                  </pic:cNvPicPr>
                </pic:nvPicPr>
                <pic:blipFill>
                  <a:blip r:embed="rId3"/>
                  <a:stretch>
                    <a:fillRect/>
                  </a:stretch>
                </pic:blipFill>
                <pic:spPr bwMode="auto">
                  <a:xfrm>
                    <a:off x="0" y="0"/>
                    <a:ext cx="2388870" cy="332105"/>
                  </a:xfrm>
                  <a:prstGeom prst="rect">
                    <a:avLst/>
                  </a:prstGeom>
                </pic:spPr>
              </pic:pic>
            </a:graphicData>
          </a:graphic>
        </wp:inline>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mc:AlternateContent>
        <mc:Choice Requires="wps">
          <w:drawing>
            <wp:anchor behindDoc="1" distT="0" distB="0" distL="0" distR="0" simplePos="0" locked="0" layoutInCell="0" allowOverlap="1" relativeHeight="5">
              <wp:simplePos x="0" y="0"/>
              <wp:positionH relativeFrom="margin">
                <wp:align>center</wp:align>
              </wp:positionH>
              <wp:positionV relativeFrom="margin">
                <wp:align>center</wp:align>
              </wp:positionV>
              <wp:extent cx="5399405" cy="6931025"/>
              <wp:effectExtent l="0" t="0" r="0" b="0"/>
              <wp:wrapNone/>
              <wp:docPr id="5" name="WordPictureWatermark1795464"/>
              <a:graphic xmlns:a="http://schemas.openxmlformats.org/drawingml/2006/main">
                <a:graphicData uri="http://schemas.openxmlformats.org/drawingml/2006/picture">
                  <pic:pic xmlns:pic="http://schemas.openxmlformats.org/drawingml/2006/picture">
                    <pic:nvPicPr>
                      <pic:cNvPr id="2" name="WordPictureWatermark1795464" descr=""/>
                      <pic:cNvPicPr/>
                    </pic:nvPicPr>
                    <pic:blipFill>
                      <a:blip r:embed="rId1">
                        <a:lum bright="70000" contrast="-70000"/>
                      </a:blip>
                      <a:stretch/>
                    </pic:blipFill>
                    <pic:spPr>
                      <a:xfrm>
                        <a:off x="0" y="0"/>
                        <a:ext cx="5399280" cy="6931080"/>
                      </a:xfrm>
                      <a:prstGeom prst="rect">
                        <a:avLst/>
                      </a:prstGeom>
                      <a:ln w="0">
                        <a:noFill/>
                      </a:ln>
                    </pic:spPr>
                  </pic:pic>
                </a:graphicData>
              </a:graphic>
            </wp:anchor>
          </w:drawing>
        </mc:Choice>
        <mc:Fallback>
          <w:pict>
            <v:shape id="WordPictureWatermark1795464" o:spid="shape_0" stroked="f" o:allowincell="f" style="position:absolute;margin-left:31.05pt;margin-top:71pt;width:425.1pt;height:545.7pt;mso-wrap-style:none;v-text-anchor:middle;mso-position-horizontal:center;mso-position-horizontal-relative:margin;mso-position-vertical:center;mso-position-vertical-relative:margin" type="_x0000_t75">
              <v:imagedata r:id="rId1" o:detectmouseclick="t"/>
              <v:stroke color="#3465a4" joinstyle="round" endcap="flat"/>
              <w10:wrap type="none"/>
            </v:shape>
          </w:pict>
        </mc:Fallback>
      </mc:AlternateContent>
    </w:r>
    <w:r>
      <w:rPr/>
      <w:tab/>
    </w:r>
    <w:r>
      <w:rPr/>
      <w:drawing>
        <wp:inline distT="0" distB="0" distL="0" distR="0">
          <wp:extent cx="2847975" cy="459105"/>
          <wp:effectExtent l="0" t="0" r="0" b="0"/>
          <wp:docPr id="6" name="Imagen 3" descr="F:\logos\consejeria1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 descr="F:\logos\consejeria1verde.png"/>
                  <pic:cNvPicPr>
                    <a:picLocks noChangeAspect="1" noChangeArrowheads="1"/>
                  </pic:cNvPicPr>
                </pic:nvPicPr>
                <pic:blipFill>
                  <a:blip r:embed="rId2"/>
                  <a:stretch>
                    <a:fillRect/>
                  </a:stretch>
                </pic:blipFill>
                <pic:spPr bwMode="auto">
                  <a:xfrm>
                    <a:off x="0" y="0"/>
                    <a:ext cx="2847975" cy="459105"/>
                  </a:xfrm>
                  <a:prstGeom prst="rect">
                    <a:avLst/>
                  </a:prstGeom>
                </pic:spPr>
              </pic:pic>
            </a:graphicData>
          </a:graphic>
        </wp:inline>
      </w:drawing>
    </w:r>
    <w:r>
      <w:rPr/>
      <w:t xml:space="preserve">                       </w:t>
    </w:r>
    <w:r>
      <w:rPr/>
      <w:drawing>
        <wp:inline distT="0" distB="0" distL="0" distR="0">
          <wp:extent cx="2388870" cy="332105"/>
          <wp:effectExtent l="0" t="0" r="0" b="0"/>
          <wp:docPr id="7" name="Imagen 2" descr="F:\logos\hospitales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 descr="F:\logos\hospitalesverde.png"/>
                  <pic:cNvPicPr>
                    <a:picLocks noChangeAspect="1" noChangeArrowheads="1"/>
                  </pic:cNvPicPr>
                </pic:nvPicPr>
                <pic:blipFill>
                  <a:blip r:embed="rId3"/>
                  <a:stretch>
                    <a:fillRect/>
                  </a:stretch>
                </pic:blipFill>
                <pic:spPr bwMode="auto">
                  <a:xfrm>
                    <a:off x="0" y="0"/>
                    <a:ext cx="2388870" cy="332105"/>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E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015bb"/>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eastAsia="ar-SA" w:val="es-ES" w:bidi="ar-SA"/>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uiPriority w:val="99"/>
    <w:semiHidden/>
    <w:qFormat/>
    <w:rsid w:val="002b0874"/>
    <w:rPr/>
  </w:style>
  <w:style w:type="character" w:styleId="PiedepginaCar" w:customStyle="1">
    <w:name w:val="Pie de página Car"/>
    <w:basedOn w:val="DefaultParagraphFont"/>
    <w:uiPriority w:val="99"/>
    <w:semiHidden/>
    <w:qFormat/>
    <w:rsid w:val="002b0874"/>
    <w:rPr/>
  </w:style>
  <w:style w:type="character" w:styleId="TextodegloboCar" w:customStyle="1">
    <w:name w:val="Texto de globo Car"/>
    <w:basedOn w:val="DefaultParagraphFont"/>
    <w:link w:val="BalloonText"/>
    <w:uiPriority w:val="99"/>
    <w:semiHidden/>
    <w:qFormat/>
    <w:rsid w:val="002b0874"/>
    <w:rPr>
      <w:rFonts w:ascii="Tahoma" w:hAnsi="Tahoma" w:cs="Tahoma"/>
      <w:sz w:val="16"/>
      <w:szCs w:val="16"/>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Cabeceraypie">
    <w:name w:val="Cabecera y pie"/>
    <w:basedOn w:val="Normal"/>
    <w:qFormat/>
    <w:pPr/>
    <w:rPr/>
  </w:style>
  <w:style w:type="paragraph" w:styleId="Cabecera">
    <w:name w:val="Header"/>
    <w:basedOn w:val="Normal"/>
    <w:link w:val="EncabezadoCar"/>
    <w:uiPriority w:val="99"/>
    <w:semiHidden/>
    <w:unhideWhenUsed/>
    <w:rsid w:val="002b0874"/>
    <w:pPr>
      <w:tabs>
        <w:tab w:val="clear" w:pos="708"/>
        <w:tab w:val="center" w:pos="4252" w:leader="none"/>
        <w:tab w:val="right" w:pos="8504" w:leader="none"/>
      </w:tabs>
    </w:pPr>
    <w:rPr/>
  </w:style>
  <w:style w:type="paragraph" w:styleId="Piedepgina">
    <w:name w:val="Footer"/>
    <w:basedOn w:val="Normal"/>
    <w:link w:val="PiedepginaCar"/>
    <w:uiPriority w:val="99"/>
    <w:semiHidden/>
    <w:unhideWhenUsed/>
    <w:rsid w:val="002b0874"/>
    <w:pPr>
      <w:tabs>
        <w:tab w:val="clear" w:pos="708"/>
        <w:tab w:val="center" w:pos="4252" w:leader="none"/>
        <w:tab w:val="right" w:pos="8504" w:leader="none"/>
      </w:tabs>
    </w:pPr>
    <w:rPr/>
  </w:style>
  <w:style w:type="paragraph" w:styleId="BalloonText">
    <w:name w:val="Balloon Text"/>
    <w:basedOn w:val="Normal"/>
    <w:link w:val="TextodegloboCar"/>
    <w:uiPriority w:val="99"/>
    <w:semiHidden/>
    <w:unhideWhenUsed/>
    <w:qFormat/>
    <w:rsid w:val="002b0874"/>
    <w:pPr/>
    <w:rPr>
      <w:rFonts w:ascii="Tahoma" w:hAnsi="Tahoma" w:cs="Tahoma"/>
      <w:sz w:val="16"/>
      <w:szCs w:val="16"/>
    </w:rPr>
  </w:style>
  <w:style w:type="paragraph" w:styleId="ListParagraph">
    <w:name w:val="List Paragraph"/>
    <w:basedOn w:val="Normal"/>
    <w:uiPriority w:val="34"/>
    <w:qFormat/>
    <w:rsid w:val="0010687e"/>
    <w:pPr>
      <w:spacing w:before="0" w:after="0"/>
      <w:ind w:left="720" w:hanging="0"/>
      <w:contextualSpacing/>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b015b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4.jpeg"/>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_rels/header2.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 Id="rId3" Type="http://schemas.openxmlformats.org/officeDocument/2006/relationships/image" Target="media/image3.png"/>
</Relationships>
</file>

<file path=word/_rels/header3.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 Id="rId3" Type="http://schemas.openxmlformats.org/officeDocument/2006/relationships/image" Target="media/image3.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LibreOffice/7.3.5.2$Windows_X86_64 LibreOffice_project/184fe81b8c8c30d8b5082578aee2fed2ea847c01</Application>
  <AppVersion>15.0000</AppVersion>
  <Pages>2</Pages>
  <Words>555</Words>
  <Characters>3206</Characters>
  <CharactersWithSpaces>3710</CharactersWithSpaces>
  <Paragraphs>49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2023-07-25T16:30:00Z</dcterms:created>
  <dc:creator>Usuario</dc:creator>
  <dc:description/>
  <dc:language>es-ES</dc:language>
  <cp:lastModifiedBy/>
  <dcterms:modified xsi:type="dcterms:W3CDTF">2023-08-08T11:11:50Z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