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55D1" w14:textId="77777777" w:rsidR="00ED6A0B" w:rsidRPr="008E288A" w:rsidRDefault="00ED6A0B" w:rsidP="008E288A">
      <w:pPr>
        <w:pStyle w:val="Ttulo"/>
        <w:rPr>
          <w:sz w:val="36"/>
          <w:szCs w:val="36"/>
        </w:rPr>
      </w:pPr>
    </w:p>
    <w:p w14:paraId="41D455D2" w14:textId="77777777" w:rsidR="00ED6A0B" w:rsidRPr="008E288A" w:rsidRDefault="00ED6A0B" w:rsidP="008E288A">
      <w:pPr>
        <w:pStyle w:val="Ttulo"/>
      </w:pPr>
    </w:p>
    <w:p w14:paraId="41D455D3" w14:textId="77777777" w:rsidR="00ED6A0B" w:rsidRPr="008E288A" w:rsidRDefault="00ED6A0B" w:rsidP="008E288A">
      <w:pPr>
        <w:pStyle w:val="Ttulo"/>
      </w:pPr>
    </w:p>
    <w:p w14:paraId="41D455D4" w14:textId="77777777" w:rsidR="00ED6A0B" w:rsidRPr="008E288A" w:rsidRDefault="00ED6A0B" w:rsidP="008E288A">
      <w:pPr>
        <w:pStyle w:val="Ttulo"/>
      </w:pPr>
    </w:p>
    <w:p w14:paraId="41D455D5" w14:textId="77777777" w:rsidR="00ED6A0B" w:rsidRPr="008E288A" w:rsidRDefault="006158E9" w:rsidP="008E288A">
      <w:pPr>
        <w:pStyle w:val="Ttulo"/>
      </w:pPr>
      <w:r>
        <w:rPr>
          <w:noProof/>
          <w:color w:val="000000" w:themeColor="text1"/>
          <w:lang w:val="es-ES"/>
        </w:rPr>
        <w:drawing>
          <wp:anchor distT="0" distB="0" distL="114300" distR="114300" simplePos="0" relativeHeight="251659264" behindDoc="1" locked="0" layoutInCell="1" allowOverlap="1" wp14:anchorId="41D45629" wp14:editId="41D4562A">
            <wp:simplePos x="0" y="0"/>
            <wp:positionH relativeFrom="column">
              <wp:posOffset>-911860</wp:posOffset>
            </wp:positionH>
            <wp:positionV relativeFrom="paragraph">
              <wp:posOffset>60325</wp:posOffset>
            </wp:positionV>
            <wp:extent cx="7579995" cy="2179320"/>
            <wp:effectExtent l="0" t="0" r="190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rotWithShape="1">
                    <a:blip r:embed="rId11" cstate="print">
                      <a:extLst>
                        <a:ext uri="{28A0092B-C50C-407E-A947-70E740481C1C}">
                          <a14:useLocalDpi xmlns:a14="http://schemas.microsoft.com/office/drawing/2010/main" val="0"/>
                        </a:ext>
                      </a:extLst>
                    </a:blip>
                    <a:srcRect t="22475" b="57184"/>
                    <a:stretch/>
                  </pic:blipFill>
                  <pic:spPr bwMode="auto">
                    <a:xfrm>
                      <a:off x="0" y="0"/>
                      <a:ext cx="7579995" cy="2179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D455D6" w14:textId="77777777" w:rsidR="00ED6A0B" w:rsidRPr="008E288A" w:rsidRDefault="00ED6A0B" w:rsidP="008E288A">
      <w:pPr>
        <w:pStyle w:val="Ttulo"/>
      </w:pPr>
    </w:p>
    <w:p w14:paraId="41D455D7" w14:textId="77777777" w:rsidR="00ED6A0B" w:rsidRPr="008E288A" w:rsidRDefault="00ED6A0B" w:rsidP="008E288A">
      <w:pPr>
        <w:pStyle w:val="Ttulo"/>
      </w:pPr>
    </w:p>
    <w:p w14:paraId="41D455D8" w14:textId="77777777" w:rsidR="00ED6A0B" w:rsidRPr="008E288A" w:rsidRDefault="00ED6A0B" w:rsidP="008E288A">
      <w:pPr>
        <w:pStyle w:val="Ttulo"/>
      </w:pPr>
    </w:p>
    <w:p w14:paraId="41D455D9" w14:textId="77777777" w:rsidR="00ED6A0B" w:rsidRPr="008E288A" w:rsidRDefault="00ED6A0B" w:rsidP="008E288A">
      <w:pPr>
        <w:pStyle w:val="Ttulo"/>
      </w:pPr>
    </w:p>
    <w:p w14:paraId="41D455DA" w14:textId="77777777" w:rsidR="00A958B0" w:rsidRPr="008E288A" w:rsidRDefault="00A958B0" w:rsidP="008E288A">
      <w:pPr>
        <w:pStyle w:val="Ttulo"/>
      </w:pPr>
    </w:p>
    <w:p w14:paraId="41D455DB" w14:textId="77777777" w:rsidR="006158E9" w:rsidRDefault="006158E9" w:rsidP="00777D31">
      <w:pPr>
        <w:pStyle w:val="Ttulo"/>
        <w:rPr>
          <w:sz w:val="36"/>
          <w:szCs w:val="36"/>
        </w:rPr>
      </w:pPr>
    </w:p>
    <w:p w14:paraId="41D455DC" w14:textId="77777777" w:rsidR="006158E9" w:rsidRDefault="006158E9" w:rsidP="00777D31">
      <w:pPr>
        <w:pStyle w:val="Ttulo"/>
        <w:rPr>
          <w:sz w:val="36"/>
          <w:szCs w:val="36"/>
        </w:rPr>
      </w:pPr>
    </w:p>
    <w:p w14:paraId="41D455DD" w14:textId="77777777" w:rsidR="006158E9" w:rsidRDefault="006158E9" w:rsidP="00777D31">
      <w:pPr>
        <w:pStyle w:val="Ttulo"/>
        <w:rPr>
          <w:sz w:val="36"/>
          <w:szCs w:val="36"/>
        </w:rPr>
      </w:pPr>
    </w:p>
    <w:p w14:paraId="41D455DE" w14:textId="77777777" w:rsidR="006158E9" w:rsidRDefault="006158E9" w:rsidP="00777D31">
      <w:pPr>
        <w:pStyle w:val="Ttulo"/>
        <w:rPr>
          <w:sz w:val="36"/>
          <w:szCs w:val="36"/>
        </w:rPr>
      </w:pPr>
    </w:p>
    <w:p w14:paraId="41D455E0" w14:textId="77777777" w:rsidR="006158E9" w:rsidRDefault="006158E9" w:rsidP="00777D31">
      <w:pPr>
        <w:pStyle w:val="Ttulo"/>
        <w:rPr>
          <w:sz w:val="36"/>
          <w:szCs w:val="36"/>
        </w:rPr>
      </w:pPr>
    </w:p>
    <w:p w14:paraId="41D455E1" w14:textId="77777777" w:rsidR="006158E9" w:rsidRDefault="006158E9" w:rsidP="00777D31">
      <w:pPr>
        <w:pStyle w:val="Ttulo"/>
        <w:rPr>
          <w:sz w:val="36"/>
          <w:szCs w:val="36"/>
        </w:rPr>
      </w:pPr>
    </w:p>
    <w:p w14:paraId="41D455E2" w14:textId="77777777" w:rsidR="00777D31" w:rsidRPr="00E65062" w:rsidRDefault="009C5A31" w:rsidP="00777D31">
      <w:pPr>
        <w:pStyle w:val="Ttulo"/>
        <w:rPr>
          <w:sz w:val="36"/>
          <w:szCs w:val="36"/>
        </w:rPr>
      </w:pPr>
      <w:r>
        <w:rPr>
          <w:sz w:val="36"/>
          <w:szCs w:val="36"/>
        </w:rPr>
        <w:t>Recomanació</w:t>
      </w:r>
      <w:r w:rsidR="006158E9">
        <w:rPr>
          <w:sz w:val="36"/>
          <w:szCs w:val="36"/>
        </w:rPr>
        <w:t xml:space="preserve"> assistencial</w:t>
      </w:r>
    </w:p>
    <w:p w14:paraId="41D455E3" w14:textId="7D9FEB26" w:rsidR="00313EA5" w:rsidRPr="005F4171" w:rsidRDefault="004673FF" w:rsidP="00313EA5">
      <w:pPr>
        <w:pStyle w:val="Ttulo"/>
        <w:rPr>
          <w:sz w:val="52"/>
          <w:szCs w:val="52"/>
        </w:rPr>
      </w:pPr>
      <w:r w:rsidRPr="005F4171">
        <w:rPr>
          <w:sz w:val="52"/>
          <w:szCs w:val="52"/>
        </w:rPr>
        <w:t xml:space="preserve">Manejo </w:t>
      </w:r>
      <w:proofErr w:type="spellStart"/>
      <w:r w:rsidRPr="005F4171">
        <w:rPr>
          <w:sz w:val="52"/>
          <w:szCs w:val="52"/>
        </w:rPr>
        <w:t>perioperatorio</w:t>
      </w:r>
      <w:proofErr w:type="spellEnd"/>
      <w:r w:rsidRPr="005F4171">
        <w:rPr>
          <w:sz w:val="52"/>
          <w:szCs w:val="52"/>
        </w:rPr>
        <w:t xml:space="preserve"> de </w:t>
      </w:r>
      <w:proofErr w:type="spellStart"/>
      <w:r w:rsidRPr="005F4171">
        <w:rPr>
          <w:sz w:val="52"/>
          <w:szCs w:val="52"/>
        </w:rPr>
        <w:t>medicación</w:t>
      </w:r>
      <w:proofErr w:type="spellEnd"/>
      <w:r w:rsidRPr="005F4171">
        <w:rPr>
          <w:sz w:val="52"/>
          <w:szCs w:val="52"/>
        </w:rPr>
        <w:t xml:space="preserve"> </w:t>
      </w:r>
      <w:proofErr w:type="spellStart"/>
      <w:r w:rsidRPr="005F4171">
        <w:rPr>
          <w:sz w:val="52"/>
          <w:szCs w:val="52"/>
        </w:rPr>
        <w:t>antitrombótica</w:t>
      </w:r>
      <w:proofErr w:type="spellEnd"/>
      <w:r w:rsidRPr="005F4171">
        <w:rPr>
          <w:sz w:val="52"/>
          <w:szCs w:val="52"/>
        </w:rPr>
        <w:t xml:space="preserve"> en el </w:t>
      </w:r>
      <w:proofErr w:type="spellStart"/>
      <w:r w:rsidRPr="005F4171">
        <w:rPr>
          <w:sz w:val="52"/>
          <w:szCs w:val="52"/>
        </w:rPr>
        <w:t>paciente</w:t>
      </w:r>
      <w:proofErr w:type="spellEnd"/>
      <w:r w:rsidRPr="005F4171">
        <w:rPr>
          <w:sz w:val="52"/>
          <w:szCs w:val="52"/>
        </w:rPr>
        <w:t xml:space="preserve"> con fractura de </w:t>
      </w:r>
      <w:proofErr w:type="spellStart"/>
      <w:r w:rsidRPr="005F4171">
        <w:rPr>
          <w:sz w:val="52"/>
          <w:szCs w:val="52"/>
        </w:rPr>
        <w:t>fémur</w:t>
      </w:r>
      <w:proofErr w:type="spellEnd"/>
    </w:p>
    <w:p w14:paraId="4054FFD6" w14:textId="77777777" w:rsidR="004673FF" w:rsidRDefault="004673FF" w:rsidP="00313EA5">
      <w:pPr>
        <w:rPr>
          <w:rFonts w:eastAsiaTheme="majorEastAsia" w:cstheme="majorBidi"/>
          <w:b/>
          <w:color w:val="2670CA"/>
          <w:spacing w:val="-10"/>
          <w:kern w:val="28"/>
          <w:sz w:val="24"/>
          <w:szCs w:val="56"/>
        </w:rPr>
      </w:pPr>
    </w:p>
    <w:p w14:paraId="41D455E5" w14:textId="1AF252BA" w:rsidR="00313EA5" w:rsidRPr="00313EA5" w:rsidRDefault="008833A8" w:rsidP="00313EA5">
      <w:pPr>
        <w:rPr>
          <w:rFonts w:eastAsiaTheme="majorEastAsia" w:cstheme="majorBidi"/>
          <w:b/>
          <w:color w:val="2670CA"/>
          <w:spacing w:val="-10"/>
          <w:kern w:val="28"/>
          <w:sz w:val="24"/>
          <w:szCs w:val="56"/>
        </w:rPr>
      </w:pPr>
      <w:r>
        <w:rPr>
          <w:rFonts w:eastAsiaTheme="majorEastAsia" w:cstheme="majorBidi"/>
          <w:b/>
          <w:color w:val="2670CA"/>
          <w:spacing w:val="-10"/>
          <w:kern w:val="28"/>
          <w:sz w:val="24"/>
          <w:szCs w:val="56"/>
        </w:rPr>
        <w:t xml:space="preserve">Complex hospitalari Moisès </w:t>
      </w:r>
      <w:proofErr w:type="spellStart"/>
      <w:r>
        <w:rPr>
          <w:rFonts w:eastAsiaTheme="majorEastAsia" w:cstheme="majorBidi"/>
          <w:b/>
          <w:color w:val="2670CA"/>
          <w:spacing w:val="-10"/>
          <w:kern w:val="28"/>
          <w:sz w:val="24"/>
          <w:szCs w:val="56"/>
        </w:rPr>
        <w:t>Broggi</w:t>
      </w:r>
      <w:proofErr w:type="spellEnd"/>
      <w:r>
        <w:rPr>
          <w:rFonts w:eastAsiaTheme="majorEastAsia" w:cstheme="majorBidi"/>
          <w:b/>
          <w:color w:val="2670CA"/>
          <w:spacing w:val="-10"/>
          <w:kern w:val="28"/>
          <w:sz w:val="24"/>
          <w:szCs w:val="56"/>
        </w:rPr>
        <w:t xml:space="preserve">. </w:t>
      </w:r>
      <w:r w:rsidR="00EF00A0">
        <w:rPr>
          <w:rFonts w:eastAsiaTheme="majorEastAsia" w:cstheme="majorBidi"/>
          <w:b/>
          <w:color w:val="2670CA"/>
          <w:spacing w:val="-10"/>
          <w:kern w:val="28"/>
          <w:sz w:val="24"/>
          <w:szCs w:val="56"/>
        </w:rPr>
        <w:t>C</w:t>
      </w:r>
      <w:r>
        <w:rPr>
          <w:rFonts w:eastAsiaTheme="majorEastAsia" w:cstheme="majorBidi"/>
          <w:b/>
          <w:color w:val="2670CA"/>
          <w:spacing w:val="-10"/>
          <w:kern w:val="28"/>
          <w:sz w:val="24"/>
          <w:szCs w:val="56"/>
        </w:rPr>
        <w:t xml:space="preserve">onsorci </w:t>
      </w:r>
      <w:r w:rsidR="00EF00A0">
        <w:rPr>
          <w:rFonts w:eastAsiaTheme="majorEastAsia" w:cstheme="majorBidi"/>
          <w:b/>
          <w:color w:val="2670CA"/>
          <w:spacing w:val="-10"/>
          <w:kern w:val="28"/>
          <w:sz w:val="24"/>
          <w:szCs w:val="56"/>
        </w:rPr>
        <w:t>S</w:t>
      </w:r>
      <w:r>
        <w:rPr>
          <w:rFonts w:eastAsiaTheme="majorEastAsia" w:cstheme="majorBidi"/>
          <w:b/>
          <w:color w:val="2670CA"/>
          <w:spacing w:val="-10"/>
          <w:kern w:val="28"/>
          <w:sz w:val="24"/>
          <w:szCs w:val="56"/>
        </w:rPr>
        <w:t xml:space="preserve">anitari </w:t>
      </w:r>
      <w:r w:rsidR="00EF00A0">
        <w:rPr>
          <w:rFonts w:eastAsiaTheme="majorEastAsia" w:cstheme="majorBidi"/>
          <w:b/>
          <w:color w:val="2670CA"/>
          <w:spacing w:val="-10"/>
          <w:kern w:val="28"/>
          <w:sz w:val="24"/>
          <w:szCs w:val="56"/>
        </w:rPr>
        <w:t>I</w:t>
      </w:r>
      <w:r>
        <w:rPr>
          <w:rFonts w:eastAsiaTheme="majorEastAsia" w:cstheme="majorBidi"/>
          <w:b/>
          <w:color w:val="2670CA"/>
          <w:spacing w:val="-10"/>
          <w:kern w:val="28"/>
          <w:sz w:val="24"/>
          <w:szCs w:val="56"/>
        </w:rPr>
        <w:t>ntegral</w:t>
      </w:r>
    </w:p>
    <w:p w14:paraId="41D455E6" w14:textId="77777777" w:rsidR="00A958B0" w:rsidRDefault="00A958B0" w:rsidP="008E288A"/>
    <w:p w14:paraId="41D455E7" w14:textId="77777777" w:rsidR="00567608" w:rsidRDefault="00567608" w:rsidP="008E288A"/>
    <w:p w14:paraId="41D455E8" w14:textId="77777777" w:rsidR="00567608" w:rsidRPr="008E288A" w:rsidRDefault="00567608" w:rsidP="008E288A"/>
    <w:p w14:paraId="41D455E9" w14:textId="77777777" w:rsidR="006158E9" w:rsidRPr="006158E9" w:rsidRDefault="006158E9" w:rsidP="00356450">
      <w:pPr>
        <w:pStyle w:val="Prrafodelista"/>
      </w:pPr>
    </w:p>
    <w:p w14:paraId="41D455EA" w14:textId="41F9B561" w:rsidR="000D75D2" w:rsidRPr="00ED6A8D" w:rsidRDefault="006158E9" w:rsidP="00ED6A8D">
      <w:pPr>
        <w:pStyle w:val="Ttulo"/>
        <w:rPr>
          <w:sz w:val="24"/>
          <w:szCs w:val="24"/>
        </w:rPr>
      </w:pPr>
      <w:r w:rsidRPr="00ED6A8D">
        <w:rPr>
          <w:sz w:val="24"/>
          <w:szCs w:val="24"/>
        </w:rPr>
        <w:t xml:space="preserve">Data prevista de la propera revisió: </w:t>
      </w:r>
      <w:r w:rsidR="00904FF1" w:rsidRPr="00ED6A8D">
        <w:rPr>
          <w:sz w:val="24"/>
          <w:szCs w:val="24"/>
        </w:rPr>
        <w:t>5</w:t>
      </w:r>
      <w:r w:rsidR="008A6A5E" w:rsidRPr="00ED6A8D">
        <w:rPr>
          <w:sz w:val="24"/>
          <w:szCs w:val="24"/>
        </w:rPr>
        <w:t xml:space="preserve"> maig 2028</w:t>
      </w:r>
    </w:p>
    <w:p w14:paraId="41D455EB" w14:textId="77777777" w:rsidR="00EF00A0" w:rsidRDefault="00EF00A0">
      <w:pPr>
        <w:spacing w:after="200" w:line="276" w:lineRule="auto"/>
        <w:jc w:val="left"/>
      </w:pPr>
      <w:r>
        <w:br w:type="page"/>
      </w:r>
    </w:p>
    <w:p w14:paraId="41D455EC" w14:textId="77777777" w:rsidR="00A9469B" w:rsidRPr="00A9469B" w:rsidRDefault="00A9469B" w:rsidP="00A9469B"/>
    <w:p w14:paraId="41D455ED" w14:textId="77777777" w:rsidR="00777D31" w:rsidRPr="00ED6A8D" w:rsidRDefault="00777D31" w:rsidP="00ED6A8D">
      <w:pPr>
        <w:pStyle w:val="Ttulo"/>
        <w:rPr>
          <w:sz w:val="24"/>
          <w:szCs w:val="24"/>
        </w:rPr>
      </w:pPr>
      <w:r w:rsidRPr="00ED6A8D">
        <w:rPr>
          <w:sz w:val="24"/>
          <w:szCs w:val="24"/>
        </w:rPr>
        <w:t>Fitxa de revisions i aprovació</w:t>
      </w:r>
    </w:p>
    <w:tbl>
      <w:tblPr>
        <w:tblStyle w:val="Tablaconcuadrcula"/>
        <w:tblW w:w="10065" w:type="dxa"/>
        <w:tblInd w:w="-318" w:type="dxa"/>
        <w:tblBorders>
          <w:top w:val="single" w:sz="8" w:space="0" w:color="CCD7ED"/>
          <w:left w:val="single" w:sz="8" w:space="0" w:color="CCD7ED"/>
          <w:bottom w:val="single" w:sz="8" w:space="0" w:color="CCD7ED"/>
          <w:right w:val="single" w:sz="8" w:space="0" w:color="CCD7ED"/>
          <w:insideH w:val="single" w:sz="8" w:space="0" w:color="CCD7ED"/>
          <w:insideV w:val="single" w:sz="8" w:space="0" w:color="CCD7ED"/>
        </w:tblBorders>
        <w:tblCellMar>
          <w:top w:w="57" w:type="dxa"/>
          <w:bottom w:w="57" w:type="dxa"/>
        </w:tblCellMar>
        <w:tblLook w:val="04A0" w:firstRow="1" w:lastRow="0" w:firstColumn="1" w:lastColumn="0" w:noHBand="0" w:noVBand="1"/>
      </w:tblPr>
      <w:tblGrid>
        <w:gridCol w:w="767"/>
        <w:gridCol w:w="1017"/>
        <w:gridCol w:w="1687"/>
        <w:gridCol w:w="3362"/>
        <w:gridCol w:w="1546"/>
        <w:gridCol w:w="1686"/>
      </w:tblGrid>
      <w:tr w:rsidR="00364627" w14:paraId="41D455EF" w14:textId="77777777" w:rsidTr="00364627">
        <w:tc>
          <w:tcPr>
            <w:tcW w:w="10065" w:type="dxa"/>
            <w:gridSpan w:val="6"/>
            <w:shd w:val="clear" w:color="auto" w:fill="2670CA"/>
            <w:vAlign w:val="center"/>
          </w:tcPr>
          <w:p w14:paraId="41D455EE" w14:textId="77777777" w:rsidR="00364627" w:rsidRPr="00DA2FE6" w:rsidRDefault="00364627" w:rsidP="00364627">
            <w:pPr>
              <w:jc w:val="center"/>
              <w:rPr>
                <w:b/>
                <w:bCs/>
                <w:color w:val="FFFFFF" w:themeColor="background1"/>
                <w:sz w:val="18"/>
                <w:szCs w:val="18"/>
              </w:rPr>
            </w:pPr>
            <w:r w:rsidRPr="00DA2FE6">
              <w:rPr>
                <w:b/>
                <w:bCs/>
                <w:color w:val="FFFFFF" w:themeColor="background1"/>
                <w:sz w:val="18"/>
                <w:szCs w:val="18"/>
              </w:rPr>
              <w:t>REVISIONS</w:t>
            </w:r>
          </w:p>
        </w:tc>
      </w:tr>
      <w:tr w:rsidR="00364627" w14:paraId="41D455F6" w14:textId="77777777" w:rsidTr="0098005D">
        <w:tc>
          <w:tcPr>
            <w:tcW w:w="767" w:type="dxa"/>
            <w:shd w:val="clear" w:color="auto" w:fill="2670CA"/>
            <w:vAlign w:val="center"/>
          </w:tcPr>
          <w:p w14:paraId="41D455F0" w14:textId="77777777" w:rsidR="00364627" w:rsidRPr="00DA2FE6" w:rsidRDefault="00364627" w:rsidP="00364627">
            <w:pPr>
              <w:jc w:val="center"/>
              <w:rPr>
                <w:b/>
                <w:bCs/>
                <w:color w:val="FFFFFF" w:themeColor="background1"/>
                <w:sz w:val="18"/>
                <w:szCs w:val="18"/>
              </w:rPr>
            </w:pPr>
            <w:r w:rsidRPr="00DA2FE6">
              <w:rPr>
                <w:b/>
                <w:bCs/>
                <w:color w:val="FFFFFF" w:themeColor="background1"/>
                <w:sz w:val="18"/>
                <w:szCs w:val="18"/>
              </w:rPr>
              <w:t>Versió</w:t>
            </w:r>
          </w:p>
        </w:tc>
        <w:tc>
          <w:tcPr>
            <w:tcW w:w="1017" w:type="dxa"/>
            <w:shd w:val="clear" w:color="auto" w:fill="2670CA"/>
            <w:vAlign w:val="center"/>
          </w:tcPr>
          <w:p w14:paraId="41D455F1" w14:textId="77777777" w:rsidR="00364627" w:rsidRPr="00DA2FE6" w:rsidRDefault="00364627" w:rsidP="00364627">
            <w:pPr>
              <w:jc w:val="center"/>
              <w:rPr>
                <w:b/>
                <w:bCs/>
                <w:color w:val="FFFFFF" w:themeColor="background1"/>
                <w:sz w:val="18"/>
                <w:szCs w:val="18"/>
              </w:rPr>
            </w:pPr>
            <w:r w:rsidRPr="00DA2FE6">
              <w:rPr>
                <w:b/>
                <w:bCs/>
                <w:color w:val="FFFFFF" w:themeColor="background1"/>
                <w:sz w:val="18"/>
                <w:szCs w:val="18"/>
              </w:rPr>
              <w:t>Data</w:t>
            </w:r>
          </w:p>
        </w:tc>
        <w:tc>
          <w:tcPr>
            <w:tcW w:w="1687" w:type="dxa"/>
            <w:shd w:val="clear" w:color="auto" w:fill="2670CA"/>
            <w:vAlign w:val="center"/>
          </w:tcPr>
          <w:p w14:paraId="41D455F2" w14:textId="77777777" w:rsidR="00364627" w:rsidRPr="00DA2FE6" w:rsidRDefault="00364627" w:rsidP="00364627">
            <w:pPr>
              <w:jc w:val="center"/>
              <w:rPr>
                <w:b/>
                <w:bCs/>
                <w:color w:val="FFFFFF" w:themeColor="background1"/>
                <w:sz w:val="18"/>
                <w:szCs w:val="18"/>
              </w:rPr>
            </w:pPr>
            <w:r w:rsidRPr="00DA2FE6">
              <w:rPr>
                <w:b/>
                <w:bCs/>
                <w:color w:val="FFFFFF" w:themeColor="background1"/>
                <w:sz w:val="18"/>
                <w:szCs w:val="18"/>
              </w:rPr>
              <w:t>Realitzat per</w:t>
            </w:r>
          </w:p>
        </w:tc>
        <w:tc>
          <w:tcPr>
            <w:tcW w:w="3362" w:type="dxa"/>
            <w:shd w:val="clear" w:color="auto" w:fill="2670CA"/>
            <w:vAlign w:val="center"/>
          </w:tcPr>
          <w:p w14:paraId="41D455F3" w14:textId="77777777" w:rsidR="00364627" w:rsidRPr="00DA2FE6" w:rsidRDefault="00364627" w:rsidP="00364627">
            <w:pPr>
              <w:jc w:val="center"/>
              <w:rPr>
                <w:b/>
                <w:bCs/>
                <w:color w:val="FFFFFF" w:themeColor="background1"/>
                <w:sz w:val="18"/>
                <w:szCs w:val="18"/>
              </w:rPr>
            </w:pPr>
            <w:r w:rsidRPr="00DA2FE6">
              <w:rPr>
                <w:b/>
                <w:bCs/>
                <w:color w:val="FFFFFF" w:themeColor="background1"/>
                <w:sz w:val="18"/>
                <w:szCs w:val="18"/>
              </w:rPr>
              <w:t>Modificació</w:t>
            </w:r>
          </w:p>
        </w:tc>
        <w:tc>
          <w:tcPr>
            <w:tcW w:w="1546" w:type="dxa"/>
            <w:shd w:val="clear" w:color="auto" w:fill="2670CA"/>
            <w:vAlign w:val="center"/>
          </w:tcPr>
          <w:p w14:paraId="41D455F4" w14:textId="77777777" w:rsidR="00364627" w:rsidRPr="00DA2FE6" w:rsidRDefault="00364627" w:rsidP="00364627">
            <w:pPr>
              <w:jc w:val="center"/>
              <w:rPr>
                <w:b/>
                <w:bCs/>
                <w:color w:val="FFFFFF" w:themeColor="background1"/>
                <w:sz w:val="18"/>
                <w:szCs w:val="18"/>
              </w:rPr>
            </w:pPr>
            <w:r w:rsidRPr="00DA2FE6">
              <w:rPr>
                <w:b/>
                <w:bCs/>
                <w:color w:val="FFFFFF" w:themeColor="background1"/>
                <w:sz w:val="18"/>
                <w:szCs w:val="18"/>
              </w:rPr>
              <w:t>Revisat per</w:t>
            </w:r>
          </w:p>
        </w:tc>
        <w:tc>
          <w:tcPr>
            <w:tcW w:w="1686" w:type="dxa"/>
            <w:shd w:val="clear" w:color="auto" w:fill="2670CA"/>
            <w:vAlign w:val="center"/>
          </w:tcPr>
          <w:p w14:paraId="41D455F5" w14:textId="77777777" w:rsidR="00364627" w:rsidRPr="00DA2FE6" w:rsidRDefault="00364627" w:rsidP="00364627">
            <w:pPr>
              <w:jc w:val="center"/>
              <w:rPr>
                <w:b/>
                <w:bCs/>
                <w:color w:val="FFFFFF" w:themeColor="background1"/>
                <w:sz w:val="18"/>
                <w:szCs w:val="18"/>
              </w:rPr>
            </w:pPr>
            <w:r w:rsidRPr="00DA2FE6">
              <w:rPr>
                <w:b/>
                <w:bCs/>
                <w:color w:val="FFFFFF" w:themeColor="background1"/>
                <w:sz w:val="18"/>
                <w:szCs w:val="18"/>
              </w:rPr>
              <w:t>Aprovat per</w:t>
            </w:r>
          </w:p>
        </w:tc>
      </w:tr>
      <w:tr w:rsidR="00364627" w14:paraId="41D455FF" w14:textId="77777777" w:rsidTr="0098005D">
        <w:tc>
          <w:tcPr>
            <w:tcW w:w="767" w:type="dxa"/>
          </w:tcPr>
          <w:p w14:paraId="41D455F7" w14:textId="77777777" w:rsidR="00364627" w:rsidRPr="00DA2FE6" w:rsidRDefault="00364627" w:rsidP="00364627">
            <w:pPr>
              <w:jc w:val="center"/>
              <w:rPr>
                <w:sz w:val="18"/>
                <w:szCs w:val="18"/>
              </w:rPr>
            </w:pPr>
            <w:r>
              <w:rPr>
                <w:sz w:val="18"/>
                <w:szCs w:val="18"/>
              </w:rPr>
              <w:t>01</w:t>
            </w:r>
          </w:p>
        </w:tc>
        <w:tc>
          <w:tcPr>
            <w:tcW w:w="1017" w:type="dxa"/>
          </w:tcPr>
          <w:p w14:paraId="41D455F8" w14:textId="3C98CD7E" w:rsidR="00364627" w:rsidRPr="00DA2FE6" w:rsidRDefault="00ED6A8D" w:rsidP="00364627">
            <w:pPr>
              <w:jc w:val="center"/>
              <w:rPr>
                <w:sz w:val="18"/>
                <w:szCs w:val="18"/>
              </w:rPr>
            </w:pPr>
            <w:r>
              <w:rPr>
                <w:sz w:val="18"/>
                <w:szCs w:val="18"/>
              </w:rPr>
              <w:t>25</w:t>
            </w:r>
            <w:r w:rsidR="008A6A5E">
              <w:rPr>
                <w:sz w:val="18"/>
                <w:szCs w:val="18"/>
              </w:rPr>
              <w:t xml:space="preserve"> maig 2023</w:t>
            </w:r>
          </w:p>
        </w:tc>
        <w:tc>
          <w:tcPr>
            <w:tcW w:w="1687" w:type="dxa"/>
          </w:tcPr>
          <w:p w14:paraId="3465EAC4" w14:textId="10DDEBC2" w:rsidR="00364627" w:rsidRDefault="008A6A5E" w:rsidP="00313EA5">
            <w:pPr>
              <w:jc w:val="center"/>
              <w:rPr>
                <w:sz w:val="18"/>
                <w:szCs w:val="18"/>
              </w:rPr>
            </w:pPr>
            <w:r>
              <w:rPr>
                <w:sz w:val="18"/>
                <w:szCs w:val="18"/>
              </w:rPr>
              <w:t>Eva Bassas</w:t>
            </w:r>
          </w:p>
          <w:p w14:paraId="2CAA349D" w14:textId="5E27A8A1" w:rsidR="008A6A5E" w:rsidRPr="008A6A5E" w:rsidRDefault="008A6A5E" w:rsidP="00313EA5">
            <w:pPr>
              <w:jc w:val="center"/>
              <w:rPr>
                <w:i/>
                <w:iCs/>
                <w:sz w:val="18"/>
                <w:szCs w:val="18"/>
              </w:rPr>
            </w:pPr>
            <w:r w:rsidRPr="008A6A5E">
              <w:rPr>
                <w:i/>
                <w:iCs/>
                <w:sz w:val="18"/>
                <w:szCs w:val="18"/>
              </w:rPr>
              <w:t>Anestesiologia</w:t>
            </w:r>
          </w:p>
          <w:p w14:paraId="01985924" w14:textId="77777777" w:rsidR="008A6A5E" w:rsidRDefault="008A6A5E" w:rsidP="00313EA5">
            <w:pPr>
              <w:jc w:val="center"/>
              <w:rPr>
                <w:sz w:val="18"/>
                <w:szCs w:val="18"/>
              </w:rPr>
            </w:pPr>
            <w:r>
              <w:rPr>
                <w:sz w:val="18"/>
                <w:szCs w:val="18"/>
              </w:rPr>
              <w:t>Alejandra Williams</w:t>
            </w:r>
          </w:p>
          <w:p w14:paraId="41D455F9" w14:textId="697D9DDE" w:rsidR="008A6A5E" w:rsidRPr="008A6A5E" w:rsidRDefault="008A6A5E" w:rsidP="00313EA5">
            <w:pPr>
              <w:jc w:val="center"/>
              <w:rPr>
                <w:i/>
                <w:iCs/>
                <w:sz w:val="18"/>
                <w:szCs w:val="18"/>
              </w:rPr>
            </w:pPr>
            <w:r w:rsidRPr="008A6A5E">
              <w:rPr>
                <w:i/>
                <w:iCs/>
                <w:sz w:val="18"/>
                <w:szCs w:val="18"/>
              </w:rPr>
              <w:t>Anestesiologia</w:t>
            </w:r>
          </w:p>
        </w:tc>
        <w:tc>
          <w:tcPr>
            <w:tcW w:w="3362" w:type="dxa"/>
          </w:tcPr>
          <w:p w14:paraId="41D455FA" w14:textId="77777777" w:rsidR="00364627" w:rsidRPr="00DA2FE6" w:rsidRDefault="00364627" w:rsidP="00364627">
            <w:pPr>
              <w:jc w:val="center"/>
              <w:rPr>
                <w:sz w:val="18"/>
                <w:szCs w:val="18"/>
              </w:rPr>
            </w:pPr>
            <w:r>
              <w:rPr>
                <w:sz w:val="18"/>
                <w:szCs w:val="18"/>
              </w:rPr>
              <w:t>Creació document</w:t>
            </w:r>
          </w:p>
        </w:tc>
        <w:tc>
          <w:tcPr>
            <w:tcW w:w="1546" w:type="dxa"/>
          </w:tcPr>
          <w:p w14:paraId="41D455FB" w14:textId="5F25BCFC" w:rsidR="00364627" w:rsidRPr="00364627" w:rsidRDefault="008A6A5E" w:rsidP="00364627">
            <w:pPr>
              <w:pStyle w:val="Textoindependiente"/>
              <w:jc w:val="center"/>
              <w:rPr>
                <w:bCs/>
                <w:sz w:val="18"/>
                <w:szCs w:val="18"/>
                <w:lang w:val="ca-ES"/>
              </w:rPr>
            </w:pPr>
            <w:r>
              <w:rPr>
                <w:bCs/>
                <w:sz w:val="18"/>
                <w:szCs w:val="18"/>
                <w:lang w:val="ca-ES"/>
              </w:rPr>
              <w:t xml:space="preserve">Alberto </w:t>
            </w:r>
            <w:proofErr w:type="spellStart"/>
            <w:r>
              <w:rPr>
                <w:bCs/>
                <w:sz w:val="18"/>
                <w:szCs w:val="18"/>
                <w:lang w:val="ca-ES"/>
              </w:rPr>
              <w:t>Cabestrero</w:t>
            </w:r>
            <w:proofErr w:type="spellEnd"/>
          </w:p>
          <w:p w14:paraId="57DFD238" w14:textId="77777777" w:rsidR="008A6A5E" w:rsidRPr="008A6A5E" w:rsidRDefault="008A6A5E" w:rsidP="008A6A5E">
            <w:pPr>
              <w:jc w:val="center"/>
              <w:rPr>
                <w:i/>
                <w:iCs/>
                <w:sz w:val="18"/>
                <w:szCs w:val="18"/>
              </w:rPr>
            </w:pPr>
            <w:r w:rsidRPr="008A6A5E">
              <w:rPr>
                <w:i/>
                <w:iCs/>
                <w:sz w:val="18"/>
                <w:szCs w:val="18"/>
              </w:rPr>
              <w:t xml:space="preserve">Cardiologia </w:t>
            </w:r>
          </w:p>
          <w:p w14:paraId="2DC31F7F" w14:textId="433B6007" w:rsidR="008A6A5E" w:rsidRDefault="008A6A5E" w:rsidP="008A6A5E">
            <w:pPr>
              <w:jc w:val="center"/>
              <w:rPr>
                <w:sz w:val="18"/>
                <w:szCs w:val="18"/>
              </w:rPr>
            </w:pPr>
            <w:r>
              <w:rPr>
                <w:sz w:val="18"/>
                <w:szCs w:val="18"/>
              </w:rPr>
              <w:t xml:space="preserve">Joan Vilanova </w:t>
            </w:r>
            <w:r w:rsidRPr="008A6A5E">
              <w:rPr>
                <w:i/>
                <w:iCs/>
                <w:sz w:val="18"/>
                <w:szCs w:val="18"/>
              </w:rPr>
              <w:t>Traumatologia</w:t>
            </w:r>
          </w:p>
          <w:p w14:paraId="4B4C252F" w14:textId="32FDECD6" w:rsidR="008A6A5E" w:rsidRDefault="008A6A5E" w:rsidP="008A6A5E">
            <w:pPr>
              <w:jc w:val="center"/>
              <w:rPr>
                <w:i/>
                <w:iCs/>
                <w:sz w:val="18"/>
                <w:szCs w:val="18"/>
              </w:rPr>
            </w:pPr>
            <w:r>
              <w:rPr>
                <w:sz w:val="18"/>
                <w:szCs w:val="18"/>
              </w:rPr>
              <w:t xml:space="preserve">Julia </w:t>
            </w:r>
            <w:proofErr w:type="spellStart"/>
            <w:r>
              <w:rPr>
                <w:sz w:val="18"/>
                <w:szCs w:val="18"/>
              </w:rPr>
              <w:t>Verisimo</w:t>
            </w:r>
            <w:proofErr w:type="spellEnd"/>
            <w:r>
              <w:rPr>
                <w:sz w:val="18"/>
                <w:szCs w:val="18"/>
              </w:rPr>
              <w:t xml:space="preserve"> </w:t>
            </w:r>
            <w:r w:rsidRPr="008A6A5E">
              <w:rPr>
                <w:i/>
                <w:iCs/>
                <w:sz w:val="18"/>
                <w:szCs w:val="18"/>
              </w:rPr>
              <w:t>Geriatria</w:t>
            </w:r>
          </w:p>
          <w:p w14:paraId="5273A03D" w14:textId="4811475B" w:rsidR="008A6A5E" w:rsidRPr="008A6A5E" w:rsidRDefault="008A6A5E" w:rsidP="008A6A5E">
            <w:pPr>
              <w:jc w:val="center"/>
              <w:rPr>
                <w:sz w:val="18"/>
                <w:szCs w:val="18"/>
              </w:rPr>
            </w:pPr>
            <w:proofErr w:type="spellStart"/>
            <w:r>
              <w:rPr>
                <w:sz w:val="18"/>
                <w:szCs w:val="18"/>
              </w:rPr>
              <w:t>Raul</w:t>
            </w:r>
            <w:proofErr w:type="spellEnd"/>
            <w:r>
              <w:rPr>
                <w:sz w:val="18"/>
                <w:szCs w:val="18"/>
              </w:rPr>
              <w:t xml:space="preserve"> Lafuente </w:t>
            </w:r>
            <w:r w:rsidRPr="008A6A5E">
              <w:rPr>
                <w:i/>
                <w:iCs/>
                <w:sz w:val="18"/>
                <w:szCs w:val="18"/>
              </w:rPr>
              <w:t>Hematologia</w:t>
            </w:r>
          </w:p>
          <w:p w14:paraId="41D455FC" w14:textId="6909AB4F" w:rsidR="008A6A5E" w:rsidRPr="008A6A5E" w:rsidRDefault="008A6A5E" w:rsidP="008A6A5E">
            <w:pPr>
              <w:jc w:val="center"/>
              <w:rPr>
                <w:sz w:val="18"/>
                <w:szCs w:val="18"/>
              </w:rPr>
            </w:pPr>
            <w:r>
              <w:rPr>
                <w:sz w:val="18"/>
                <w:szCs w:val="18"/>
              </w:rPr>
              <w:t xml:space="preserve">Josep Masdeu </w:t>
            </w:r>
            <w:r w:rsidRPr="008A6A5E">
              <w:rPr>
                <w:i/>
                <w:iCs/>
                <w:sz w:val="18"/>
                <w:szCs w:val="18"/>
              </w:rPr>
              <w:t>Anestesiologia</w:t>
            </w:r>
          </w:p>
        </w:tc>
        <w:tc>
          <w:tcPr>
            <w:tcW w:w="1686" w:type="dxa"/>
          </w:tcPr>
          <w:p w14:paraId="41D455FE" w14:textId="5089F265" w:rsidR="00364627" w:rsidRPr="00DA2FE6" w:rsidRDefault="00ED6A8D" w:rsidP="00A9469B">
            <w:pPr>
              <w:jc w:val="center"/>
              <w:rPr>
                <w:sz w:val="18"/>
                <w:szCs w:val="18"/>
              </w:rPr>
            </w:pPr>
            <w:r>
              <w:rPr>
                <w:sz w:val="18"/>
                <w:szCs w:val="18"/>
              </w:rPr>
              <w:t>Comissió millora de la pràctica</w:t>
            </w:r>
          </w:p>
        </w:tc>
      </w:tr>
      <w:tr w:rsidR="00364627" w14:paraId="41D45606" w14:textId="77777777" w:rsidTr="0098005D">
        <w:trPr>
          <w:trHeight w:val="147"/>
        </w:trPr>
        <w:tc>
          <w:tcPr>
            <w:tcW w:w="767" w:type="dxa"/>
          </w:tcPr>
          <w:p w14:paraId="41D45600" w14:textId="77777777" w:rsidR="00364627" w:rsidRPr="00DA2FE6" w:rsidRDefault="00364627" w:rsidP="00364627">
            <w:pPr>
              <w:jc w:val="center"/>
              <w:rPr>
                <w:sz w:val="18"/>
                <w:szCs w:val="18"/>
              </w:rPr>
            </w:pPr>
          </w:p>
        </w:tc>
        <w:tc>
          <w:tcPr>
            <w:tcW w:w="1017" w:type="dxa"/>
          </w:tcPr>
          <w:p w14:paraId="41D45601" w14:textId="77777777" w:rsidR="00364627" w:rsidRPr="00DA2FE6" w:rsidRDefault="00364627" w:rsidP="00364627">
            <w:pPr>
              <w:jc w:val="center"/>
              <w:rPr>
                <w:sz w:val="18"/>
                <w:szCs w:val="18"/>
              </w:rPr>
            </w:pPr>
          </w:p>
        </w:tc>
        <w:tc>
          <w:tcPr>
            <w:tcW w:w="1687" w:type="dxa"/>
          </w:tcPr>
          <w:p w14:paraId="41D45602" w14:textId="77777777" w:rsidR="00364627" w:rsidRPr="00DA2FE6" w:rsidRDefault="00364627" w:rsidP="00364627">
            <w:pPr>
              <w:jc w:val="center"/>
              <w:rPr>
                <w:sz w:val="18"/>
                <w:szCs w:val="18"/>
              </w:rPr>
            </w:pPr>
          </w:p>
        </w:tc>
        <w:tc>
          <w:tcPr>
            <w:tcW w:w="3362" w:type="dxa"/>
          </w:tcPr>
          <w:p w14:paraId="41D45603" w14:textId="77777777" w:rsidR="00364627" w:rsidRPr="00DA2FE6" w:rsidRDefault="00364627" w:rsidP="00364627">
            <w:pPr>
              <w:jc w:val="center"/>
              <w:rPr>
                <w:sz w:val="18"/>
                <w:szCs w:val="18"/>
              </w:rPr>
            </w:pPr>
          </w:p>
        </w:tc>
        <w:tc>
          <w:tcPr>
            <w:tcW w:w="1546" w:type="dxa"/>
          </w:tcPr>
          <w:p w14:paraId="41D45604" w14:textId="77777777" w:rsidR="00364627" w:rsidRPr="00DA2FE6" w:rsidRDefault="00364627" w:rsidP="00364627">
            <w:pPr>
              <w:jc w:val="center"/>
              <w:rPr>
                <w:sz w:val="18"/>
                <w:szCs w:val="18"/>
              </w:rPr>
            </w:pPr>
          </w:p>
        </w:tc>
        <w:tc>
          <w:tcPr>
            <w:tcW w:w="1686" w:type="dxa"/>
          </w:tcPr>
          <w:p w14:paraId="41D45605" w14:textId="77777777" w:rsidR="00364627" w:rsidRPr="00DA2FE6" w:rsidRDefault="00364627" w:rsidP="00364627">
            <w:pPr>
              <w:jc w:val="center"/>
              <w:rPr>
                <w:sz w:val="18"/>
                <w:szCs w:val="18"/>
              </w:rPr>
            </w:pPr>
          </w:p>
        </w:tc>
      </w:tr>
      <w:tr w:rsidR="00364627" w14:paraId="41D4560D" w14:textId="77777777" w:rsidTr="0098005D">
        <w:tc>
          <w:tcPr>
            <w:tcW w:w="767" w:type="dxa"/>
          </w:tcPr>
          <w:p w14:paraId="41D45607" w14:textId="77777777" w:rsidR="00364627" w:rsidRPr="00DA2FE6" w:rsidRDefault="00364627" w:rsidP="00364627">
            <w:pPr>
              <w:jc w:val="center"/>
              <w:rPr>
                <w:sz w:val="18"/>
                <w:szCs w:val="18"/>
              </w:rPr>
            </w:pPr>
          </w:p>
        </w:tc>
        <w:tc>
          <w:tcPr>
            <w:tcW w:w="1017" w:type="dxa"/>
          </w:tcPr>
          <w:p w14:paraId="41D45608" w14:textId="77777777" w:rsidR="00364627" w:rsidRPr="00DA2FE6" w:rsidRDefault="00364627" w:rsidP="00364627">
            <w:pPr>
              <w:jc w:val="center"/>
              <w:rPr>
                <w:sz w:val="18"/>
                <w:szCs w:val="18"/>
              </w:rPr>
            </w:pPr>
          </w:p>
        </w:tc>
        <w:tc>
          <w:tcPr>
            <w:tcW w:w="1687" w:type="dxa"/>
          </w:tcPr>
          <w:p w14:paraId="41D45609" w14:textId="77777777" w:rsidR="00364627" w:rsidRPr="00DA2FE6" w:rsidRDefault="00364627" w:rsidP="00364627">
            <w:pPr>
              <w:jc w:val="center"/>
              <w:rPr>
                <w:sz w:val="18"/>
                <w:szCs w:val="18"/>
              </w:rPr>
            </w:pPr>
          </w:p>
        </w:tc>
        <w:tc>
          <w:tcPr>
            <w:tcW w:w="3362" w:type="dxa"/>
          </w:tcPr>
          <w:p w14:paraId="41D4560A" w14:textId="77777777" w:rsidR="00364627" w:rsidRPr="00DA2FE6" w:rsidRDefault="00364627" w:rsidP="00364627">
            <w:pPr>
              <w:jc w:val="center"/>
              <w:rPr>
                <w:sz w:val="18"/>
                <w:szCs w:val="18"/>
              </w:rPr>
            </w:pPr>
          </w:p>
        </w:tc>
        <w:tc>
          <w:tcPr>
            <w:tcW w:w="1546" w:type="dxa"/>
          </w:tcPr>
          <w:p w14:paraId="41D4560B" w14:textId="77777777" w:rsidR="00364627" w:rsidRPr="00DA2FE6" w:rsidRDefault="00364627" w:rsidP="00364627">
            <w:pPr>
              <w:jc w:val="center"/>
              <w:rPr>
                <w:sz w:val="18"/>
                <w:szCs w:val="18"/>
              </w:rPr>
            </w:pPr>
          </w:p>
        </w:tc>
        <w:tc>
          <w:tcPr>
            <w:tcW w:w="1686" w:type="dxa"/>
          </w:tcPr>
          <w:p w14:paraId="41D4560C" w14:textId="77777777" w:rsidR="00364627" w:rsidRPr="00DA2FE6" w:rsidRDefault="00364627" w:rsidP="00364627">
            <w:pPr>
              <w:jc w:val="center"/>
              <w:rPr>
                <w:sz w:val="18"/>
                <w:szCs w:val="18"/>
              </w:rPr>
            </w:pPr>
          </w:p>
        </w:tc>
      </w:tr>
    </w:tbl>
    <w:p w14:paraId="41D4560E" w14:textId="77777777" w:rsidR="00EE16E6" w:rsidRDefault="00EE16E6" w:rsidP="000E26C4">
      <w:pPr>
        <w:pStyle w:val="Ttulo"/>
        <w:rPr>
          <w:sz w:val="22"/>
          <w:szCs w:val="28"/>
        </w:rPr>
      </w:pPr>
    </w:p>
    <w:p w14:paraId="41D4560F" w14:textId="39E3E8CB" w:rsidR="00EF00A0" w:rsidRDefault="00EF00A0">
      <w:pPr>
        <w:spacing w:after="200" w:line="276" w:lineRule="auto"/>
        <w:jc w:val="left"/>
      </w:pPr>
      <w:r>
        <w:br w:type="page"/>
      </w:r>
    </w:p>
    <w:p w14:paraId="41D45610" w14:textId="77777777" w:rsidR="00A9469B" w:rsidRPr="00A9469B" w:rsidRDefault="00A9469B" w:rsidP="00A9469B"/>
    <w:sdt>
      <w:sdtPr>
        <w:rPr>
          <w:rFonts w:ascii="Arial" w:eastAsiaTheme="minorHAnsi" w:hAnsi="Arial" w:cstheme="minorBidi"/>
          <w:color w:val="auto"/>
          <w:sz w:val="22"/>
          <w:szCs w:val="22"/>
          <w:lang w:val="ca-ES"/>
        </w:rPr>
        <w:id w:val="-2073497591"/>
        <w:docPartObj>
          <w:docPartGallery w:val="Table of Contents"/>
          <w:docPartUnique/>
        </w:docPartObj>
      </w:sdtPr>
      <w:sdtEndPr>
        <w:rPr>
          <w:b/>
          <w:bCs/>
        </w:rPr>
      </w:sdtEndPr>
      <w:sdtContent>
        <w:p w14:paraId="79806F73" w14:textId="58759F37" w:rsidR="00ED6A8D" w:rsidRDefault="00ED6A8D">
          <w:pPr>
            <w:pStyle w:val="TtuloTDC"/>
          </w:pPr>
          <w:proofErr w:type="spellStart"/>
          <w:r>
            <w:t>Index</w:t>
          </w:r>
          <w:proofErr w:type="spellEnd"/>
        </w:p>
        <w:p w14:paraId="6DB3DE8D" w14:textId="77777777" w:rsidR="00ED6A8D" w:rsidRDefault="00ED6A8D">
          <w:pPr>
            <w:pStyle w:val="TDC1"/>
            <w:tabs>
              <w:tab w:val="left" w:pos="440"/>
              <w:tab w:val="right" w:leader="dot" w:pos="9204"/>
            </w:tabs>
            <w:rPr>
              <w:rFonts w:asciiTheme="minorHAnsi" w:eastAsiaTheme="minorEastAsia" w:hAnsiTheme="minorHAnsi"/>
              <w:noProof/>
              <w:lang w:val="es-ES"/>
            </w:rPr>
          </w:pPr>
          <w:r>
            <w:rPr>
              <w:b/>
              <w:bCs/>
            </w:rPr>
            <w:fldChar w:fldCharType="begin"/>
          </w:r>
          <w:r>
            <w:rPr>
              <w:b/>
              <w:bCs/>
            </w:rPr>
            <w:instrText xml:space="preserve"> TOC \o "1-3" \h \z \u </w:instrText>
          </w:r>
          <w:r>
            <w:rPr>
              <w:b/>
              <w:bCs/>
            </w:rPr>
            <w:fldChar w:fldCharType="separate"/>
          </w:r>
          <w:hyperlink w:anchor="_Toc135908230" w:history="1">
            <w:r w:rsidRPr="0026663A">
              <w:rPr>
                <w:rStyle w:val="Hipervnculo"/>
                <w:noProof/>
              </w:rPr>
              <w:t>1.</w:t>
            </w:r>
            <w:r>
              <w:rPr>
                <w:rFonts w:asciiTheme="minorHAnsi" w:eastAsiaTheme="minorEastAsia" w:hAnsiTheme="minorHAnsi"/>
                <w:noProof/>
                <w:lang w:val="es-ES"/>
              </w:rPr>
              <w:tab/>
            </w:r>
            <w:r w:rsidRPr="0026663A">
              <w:rPr>
                <w:rStyle w:val="Hipervnculo"/>
                <w:noProof/>
              </w:rPr>
              <w:t>Definició i àmbit de les recomanacions</w:t>
            </w:r>
            <w:r>
              <w:rPr>
                <w:noProof/>
                <w:webHidden/>
              </w:rPr>
              <w:tab/>
            </w:r>
            <w:r>
              <w:rPr>
                <w:noProof/>
                <w:webHidden/>
              </w:rPr>
              <w:fldChar w:fldCharType="begin"/>
            </w:r>
            <w:r>
              <w:rPr>
                <w:noProof/>
                <w:webHidden/>
              </w:rPr>
              <w:instrText xml:space="preserve"> PAGEREF _Toc135908230 \h </w:instrText>
            </w:r>
            <w:r>
              <w:rPr>
                <w:noProof/>
                <w:webHidden/>
              </w:rPr>
            </w:r>
            <w:r>
              <w:rPr>
                <w:noProof/>
                <w:webHidden/>
              </w:rPr>
              <w:fldChar w:fldCharType="separate"/>
            </w:r>
            <w:r>
              <w:rPr>
                <w:noProof/>
                <w:webHidden/>
              </w:rPr>
              <w:t>4</w:t>
            </w:r>
            <w:r>
              <w:rPr>
                <w:noProof/>
                <w:webHidden/>
              </w:rPr>
              <w:fldChar w:fldCharType="end"/>
            </w:r>
          </w:hyperlink>
        </w:p>
        <w:p w14:paraId="286DC807" w14:textId="77777777" w:rsidR="00ED6A8D" w:rsidRDefault="00542C97">
          <w:pPr>
            <w:pStyle w:val="TDC1"/>
            <w:tabs>
              <w:tab w:val="left" w:pos="440"/>
              <w:tab w:val="right" w:leader="dot" w:pos="9204"/>
            </w:tabs>
            <w:rPr>
              <w:rFonts w:asciiTheme="minorHAnsi" w:eastAsiaTheme="minorEastAsia" w:hAnsiTheme="minorHAnsi"/>
              <w:noProof/>
              <w:lang w:val="es-ES"/>
            </w:rPr>
          </w:pPr>
          <w:hyperlink w:anchor="_Toc135908231" w:history="1">
            <w:r w:rsidR="00ED6A8D" w:rsidRPr="0026663A">
              <w:rPr>
                <w:rStyle w:val="Hipervnculo"/>
                <w:noProof/>
              </w:rPr>
              <w:t>2.</w:t>
            </w:r>
            <w:r w:rsidR="00ED6A8D">
              <w:rPr>
                <w:rFonts w:asciiTheme="minorHAnsi" w:eastAsiaTheme="minorEastAsia" w:hAnsiTheme="minorHAnsi"/>
                <w:noProof/>
                <w:lang w:val="es-ES"/>
              </w:rPr>
              <w:tab/>
            </w:r>
            <w:r w:rsidR="00ED6A8D" w:rsidRPr="0026663A">
              <w:rPr>
                <w:rStyle w:val="Hipervnculo"/>
                <w:noProof/>
              </w:rPr>
              <w:t>Recomanacions</w:t>
            </w:r>
            <w:r w:rsidR="00ED6A8D">
              <w:rPr>
                <w:noProof/>
                <w:webHidden/>
              </w:rPr>
              <w:tab/>
            </w:r>
            <w:r w:rsidR="00ED6A8D">
              <w:rPr>
                <w:noProof/>
                <w:webHidden/>
              </w:rPr>
              <w:fldChar w:fldCharType="begin"/>
            </w:r>
            <w:r w:rsidR="00ED6A8D">
              <w:rPr>
                <w:noProof/>
                <w:webHidden/>
              </w:rPr>
              <w:instrText xml:space="preserve"> PAGEREF _Toc135908231 \h </w:instrText>
            </w:r>
            <w:r w:rsidR="00ED6A8D">
              <w:rPr>
                <w:noProof/>
                <w:webHidden/>
              </w:rPr>
            </w:r>
            <w:r w:rsidR="00ED6A8D">
              <w:rPr>
                <w:noProof/>
                <w:webHidden/>
              </w:rPr>
              <w:fldChar w:fldCharType="separate"/>
            </w:r>
            <w:r w:rsidR="00ED6A8D">
              <w:rPr>
                <w:noProof/>
                <w:webHidden/>
              </w:rPr>
              <w:t>4</w:t>
            </w:r>
            <w:r w:rsidR="00ED6A8D">
              <w:rPr>
                <w:noProof/>
                <w:webHidden/>
              </w:rPr>
              <w:fldChar w:fldCharType="end"/>
            </w:r>
          </w:hyperlink>
        </w:p>
        <w:p w14:paraId="169F7150" w14:textId="77777777" w:rsidR="00ED6A8D" w:rsidRDefault="00542C97">
          <w:pPr>
            <w:pStyle w:val="TDC1"/>
            <w:tabs>
              <w:tab w:val="left" w:pos="440"/>
              <w:tab w:val="right" w:leader="dot" w:pos="9204"/>
            </w:tabs>
            <w:rPr>
              <w:rFonts w:asciiTheme="minorHAnsi" w:eastAsiaTheme="minorEastAsia" w:hAnsiTheme="minorHAnsi"/>
              <w:noProof/>
              <w:lang w:val="es-ES"/>
            </w:rPr>
          </w:pPr>
          <w:hyperlink w:anchor="_Toc135908232" w:history="1">
            <w:r w:rsidR="00ED6A8D" w:rsidRPr="0026663A">
              <w:rPr>
                <w:rStyle w:val="Hipervnculo"/>
                <w:noProof/>
              </w:rPr>
              <w:t>3.</w:t>
            </w:r>
            <w:r w:rsidR="00ED6A8D">
              <w:rPr>
                <w:rFonts w:asciiTheme="minorHAnsi" w:eastAsiaTheme="minorEastAsia" w:hAnsiTheme="minorHAnsi"/>
                <w:noProof/>
                <w:lang w:val="es-ES"/>
              </w:rPr>
              <w:tab/>
            </w:r>
            <w:r w:rsidR="00ED6A8D" w:rsidRPr="0026663A">
              <w:rPr>
                <w:rStyle w:val="Hipervnculo"/>
                <w:noProof/>
              </w:rPr>
              <w:t>Bibliografia</w:t>
            </w:r>
            <w:r w:rsidR="00ED6A8D">
              <w:rPr>
                <w:noProof/>
                <w:webHidden/>
              </w:rPr>
              <w:tab/>
            </w:r>
            <w:r w:rsidR="00ED6A8D">
              <w:rPr>
                <w:noProof/>
                <w:webHidden/>
              </w:rPr>
              <w:fldChar w:fldCharType="begin"/>
            </w:r>
            <w:r w:rsidR="00ED6A8D">
              <w:rPr>
                <w:noProof/>
                <w:webHidden/>
              </w:rPr>
              <w:instrText xml:space="preserve"> PAGEREF _Toc135908232 \h </w:instrText>
            </w:r>
            <w:r w:rsidR="00ED6A8D">
              <w:rPr>
                <w:noProof/>
                <w:webHidden/>
              </w:rPr>
            </w:r>
            <w:r w:rsidR="00ED6A8D">
              <w:rPr>
                <w:noProof/>
                <w:webHidden/>
              </w:rPr>
              <w:fldChar w:fldCharType="separate"/>
            </w:r>
            <w:r w:rsidR="00ED6A8D">
              <w:rPr>
                <w:noProof/>
                <w:webHidden/>
              </w:rPr>
              <w:t>12</w:t>
            </w:r>
            <w:r w:rsidR="00ED6A8D">
              <w:rPr>
                <w:noProof/>
                <w:webHidden/>
              </w:rPr>
              <w:fldChar w:fldCharType="end"/>
            </w:r>
          </w:hyperlink>
        </w:p>
        <w:p w14:paraId="7DCAC973" w14:textId="77777777" w:rsidR="00ED6A8D" w:rsidRDefault="00542C97">
          <w:pPr>
            <w:pStyle w:val="TDC1"/>
            <w:tabs>
              <w:tab w:val="left" w:pos="440"/>
              <w:tab w:val="right" w:leader="dot" w:pos="9204"/>
            </w:tabs>
            <w:rPr>
              <w:rFonts w:asciiTheme="minorHAnsi" w:eastAsiaTheme="minorEastAsia" w:hAnsiTheme="minorHAnsi"/>
              <w:noProof/>
              <w:lang w:val="es-ES"/>
            </w:rPr>
          </w:pPr>
          <w:hyperlink w:anchor="_Toc135908233" w:history="1">
            <w:r w:rsidR="00ED6A8D" w:rsidRPr="0026663A">
              <w:rPr>
                <w:rStyle w:val="Hipervnculo"/>
                <w:noProof/>
              </w:rPr>
              <w:t>4.</w:t>
            </w:r>
            <w:r w:rsidR="00ED6A8D">
              <w:rPr>
                <w:rFonts w:asciiTheme="minorHAnsi" w:eastAsiaTheme="minorEastAsia" w:hAnsiTheme="minorHAnsi"/>
                <w:noProof/>
                <w:lang w:val="es-ES"/>
              </w:rPr>
              <w:tab/>
            </w:r>
            <w:r w:rsidR="00ED6A8D" w:rsidRPr="0026663A">
              <w:rPr>
                <w:rStyle w:val="Hipervnculo"/>
                <w:noProof/>
              </w:rPr>
              <w:t>Documents associats</w:t>
            </w:r>
            <w:r w:rsidR="00ED6A8D">
              <w:rPr>
                <w:noProof/>
                <w:webHidden/>
              </w:rPr>
              <w:tab/>
            </w:r>
            <w:r w:rsidR="00ED6A8D">
              <w:rPr>
                <w:noProof/>
                <w:webHidden/>
              </w:rPr>
              <w:fldChar w:fldCharType="begin"/>
            </w:r>
            <w:r w:rsidR="00ED6A8D">
              <w:rPr>
                <w:noProof/>
                <w:webHidden/>
              </w:rPr>
              <w:instrText xml:space="preserve"> PAGEREF _Toc135908233 \h </w:instrText>
            </w:r>
            <w:r w:rsidR="00ED6A8D">
              <w:rPr>
                <w:noProof/>
                <w:webHidden/>
              </w:rPr>
            </w:r>
            <w:r w:rsidR="00ED6A8D">
              <w:rPr>
                <w:noProof/>
                <w:webHidden/>
              </w:rPr>
              <w:fldChar w:fldCharType="separate"/>
            </w:r>
            <w:r w:rsidR="00ED6A8D">
              <w:rPr>
                <w:noProof/>
                <w:webHidden/>
              </w:rPr>
              <w:t>14</w:t>
            </w:r>
            <w:r w:rsidR="00ED6A8D">
              <w:rPr>
                <w:noProof/>
                <w:webHidden/>
              </w:rPr>
              <w:fldChar w:fldCharType="end"/>
            </w:r>
          </w:hyperlink>
        </w:p>
        <w:p w14:paraId="4F408DEE" w14:textId="07D27739" w:rsidR="00ED6A8D" w:rsidRDefault="00ED6A8D">
          <w:r>
            <w:rPr>
              <w:b/>
              <w:bCs/>
            </w:rPr>
            <w:fldChar w:fldCharType="end"/>
          </w:r>
        </w:p>
      </w:sdtContent>
    </w:sdt>
    <w:p w14:paraId="41D45613" w14:textId="77777777" w:rsidR="00EF00A0" w:rsidRDefault="00EF00A0" w:rsidP="00A9469B">
      <w:pPr>
        <w:pStyle w:val="Ttulo1"/>
        <w:numPr>
          <w:ilvl w:val="0"/>
          <w:numId w:val="0"/>
        </w:numPr>
      </w:pPr>
    </w:p>
    <w:p w14:paraId="41D45614" w14:textId="77777777" w:rsidR="00EF00A0" w:rsidRDefault="00EF00A0" w:rsidP="00A9469B">
      <w:pPr>
        <w:pStyle w:val="Ttulo1"/>
        <w:numPr>
          <w:ilvl w:val="0"/>
          <w:numId w:val="0"/>
        </w:numPr>
      </w:pPr>
    </w:p>
    <w:p w14:paraId="41D45615" w14:textId="77777777" w:rsidR="008E288A" w:rsidRPr="00EA3EE6" w:rsidRDefault="008E288A" w:rsidP="00A9469B">
      <w:pPr>
        <w:pStyle w:val="Ttulo1"/>
        <w:numPr>
          <w:ilvl w:val="0"/>
          <w:numId w:val="0"/>
        </w:numPr>
        <w:rPr>
          <w:sz w:val="24"/>
          <w:szCs w:val="24"/>
        </w:rPr>
      </w:pPr>
      <w:r w:rsidRPr="00EA3EE6">
        <w:rPr>
          <w:sz w:val="24"/>
          <w:szCs w:val="24"/>
        </w:rPr>
        <w:br w:type="page"/>
      </w:r>
    </w:p>
    <w:p w14:paraId="41D45616" w14:textId="20EE855B" w:rsidR="009700FC" w:rsidRPr="00EA3EE6" w:rsidRDefault="009700FC" w:rsidP="009700FC">
      <w:pPr>
        <w:pStyle w:val="Ttulo1"/>
      </w:pPr>
      <w:bookmarkStart w:id="0" w:name="_Toc135908230"/>
      <w:r w:rsidRPr="00EA3EE6">
        <w:lastRenderedPageBreak/>
        <w:t>Definició</w:t>
      </w:r>
      <w:r w:rsidR="003C33DE">
        <w:t xml:space="preserve"> </w:t>
      </w:r>
      <w:r w:rsidRPr="00EA3EE6">
        <w:t xml:space="preserve">i àmbit </w:t>
      </w:r>
      <w:r w:rsidR="009C5A31" w:rsidRPr="00EA3EE6">
        <w:t>de les recoma</w:t>
      </w:r>
      <w:r w:rsidR="00A468D3" w:rsidRPr="00EA3EE6">
        <w:t>n</w:t>
      </w:r>
      <w:r w:rsidR="009C5A31" w:rsidRPr="00EA3EE6">
        <w:t>acio</w:t>
      </w:r>
      <w:r w:rsidR="00A468D3" w:rsidRPr="00EA3EE6">
        <w:t>n</w:t>
      </w:r>
      <w:r w:rsidR="009C5A31" w:rsidRPr="00EA3EE6">
        <w:t>s</w:t>
      </w:r>
      <w:bookmarkEnd w:id="0"/>
    </w:p>
    <w:p w14:paraId="6C486289" w14:textId="48D8A9D4" w:rsidR="008F6FC4" w:rsidRPr="00EA3EE6" w:rsidRDefault="008F6FC4" w:rsidP="008F6FC4">
      <w:pPr>
        <w:pStyle w:val="Textoindependiente"/>
        <w:rPr>
          <w:color w:val="000000" w:themeColor="text1"/>
        </w:rPr>
      </w:pPr>
      <w:r w:rsidRPr="00EA3EE6">
        <w:rPr>
          <w:color w:val="000000" w:themeColor="text1"/>
        </w:rPr>
        <w:t>La fractura de fémur tiene una elevada prevalencia a nivel mundial. La gran mayoría de las fracturas precisaran tratamiento quirúrgico.</w:t>
      </w:r>
    </w:p>
    <w:p w14:paraId="3AF7FC83" w14:textId="77777777" w:rsidR="006A039D" w:rsidRPr="00EA3EE6" w:rsidRDefault="006A039D" w:rsidP="008F6FC4">
      <w:pPr>
        <w:pStyle w:val="Textoindependiente"/>
        <w:rPr>
          <w:color w:val="000000" w:themeColor="text1"/>
        </w:rPr>
      </w:pPr>
    </w:p>
    <w:p w14:paraId="2FF91DDA" w14:textId="569F06E7" w:rsidR="008F6FC4" w:rsidRPr="00EA3EE6" w:rsidRDefault="008F6FC4" w:rsidP="008F6FC4">
      <w:pPr>
        <w:pStyle w:val="Textoindependiente"/>
      </w:pPr>
      <w:r w:rsidRPr="00EA3EE6">
        <w:rPr>
          <w:color w:val="000000" w:themeColor="text1"/>
        </w:rPr>
        <w:t xml:space="preserve">La cirugía precoz </w:t>
      </w:r>
      <w:r w:rsidRPr="00EA3EE6">
        <w:t>en las primeras 48 horas tras la fractura ha demostrado una disminución de la morbilidad y de las complicaciones postoperatorias, como el riesgo de delirio, infección del tracto urinario o dolor postoperatorio</w:t>
      </w:r>
      <w:r w:rsidRPr="00EA3EE6">
        <w:rPr>
          <w:vertAlign w:val="superscript"/>
        </w:rPr>
        <w:t>1,2</w:t>
      </w:r>
      <w:r w:rsidRPr="00EA3EE6">
        <w:t>, así como una mejor y más rápida recuperación funcional de estos pacientes. También ha demostrado una disminución de la mortalidad a corto y largo plazo</w:t>
      </w:r>
      <w:r w:rsidRPr="00EA3EE6">
        <w:rPr>
          <w:vertAlign w:val="superscript"/>
        </w:rPr>
        <w:t>2,3</w:t>
      </w:r>
      <w:r w:rsidRPr="00EA3EE6">
        <w:t>.</w:t>
      </w:r>
    </w:p>
    <w:p w14:paraId="2DD8B98A" w14:textId="77777777" w:rsidR="006A039D" w:rsidRPr="00EA3EE6" w:rsidRDefault="006A039D" w:rsidP="008F6FC4">
      <w:pPr>
        <w:pStyle w:val="Textoindependiente"/>
      </w:pPr>
    </w:p>
    <w:p w14:paraId="02FB063F" w14:textId="6E52B301" w:rsidR="008F6FC4" w:rsidRPr="00EA3EE6" w:rsidRDefault="008F6FC4" w:rsidP="008F6FC4">
      <w:pPr>
        <w:pStyle w:val="Textoindependiente"/>
      </w:pPr>
      <w:r w:rsidRPr="00EA3EE6">
        <w:t>Debido al envejecimiento de la población, gran parte de los pacientes que requieren una intervención precoz por fractura de fémur presentan comorbilidades, tales como arritmias o enfermedad tromboembólica, que precisan tratamiento antitrombótico (ya sea antiagregante plaquetario o anticoagulante oral)</w:t>
      </w:r>
      <w:r w:rsidRPr="00EA3EE6">
        <w:rPr>
          <w:vertAlign w:val="superscript"/>
        </w:rPr>
        <w:t>4</w:t>
      </w:r>
      <w:r w:rsidRPr="00EA3EE6">
        <w:t>.</w:t>
      </w:r>
    </w:p>
    <w:p w14:paraId="75AA1F54" w14:textId="77777777" w:rsidR="006A039D" w:rsidRPr="00EA3EE6" w:rsidRDefault="006A039D" w:rsidP="008F6FC4">
      <w:pPr>
        <w:pStyle w:val="Textoindependiente"/>
      </w:pPr>
    </w:p>
    <w:p w14:paraId="732B4E63" w14:textId="5805A971" w:rsidR="008F6FC4" w:rsidRPr="00EA3EE6" w:rsidRDefault="008F6FC4" w:rsidP="008F6FC4">
      <w:pPr>
        <w:pStyle w:val="Textoindependiente"/>
      </w:pPr>
      <w:r w:rsidRPr="00EA3EE6">
        <w:t>La presencia de fármacos que alteran la hemostasia es uno de los aspectos más controvertidos del manejo preoperatorio de los pacientes que precisan cirugía precoz de fractura de fémur, ya que obliga a buscar un equilibrio entre el riesgo hemorrágico, el riesgo trombótico y el incremento de mortalidad asociado a la demora quirúrgica más allá de las primeras 48 horas</w:t>
      </w:r>
      <w:r w:rsidRPr="00EA3EE6">
        <w:rPr>
          <w:vertAlign w:val="superscript"/>
        </w:rPr>
        <w:t>2,5</w:t>
      </w:r>
      <w:r w:rsidRPr="00EA3EE6">
        <w:t>.</w:t>
      </w:r>
    </w:p>
    <w:p w14:paraId="6C422AAA" w14:textId="416BBB10" w:rsidR="006A039D" w:rsidRPr="00EA3EE6" w:rsidRDefault="006A039D" w:rsidP="008F6FC4">
      <w:pPr>
        <w:pStyle w:val="Textoindependiente"/>
      </w:pPr>
    </w:p>
    <w:p w14:paraId="1C6FA835" w14:textId="56D84D29" w:rsidR="006A039D" w:rsidRPr="00EA3EE6" w:rsidRDefault="006A039D" w:rsidP="006A039D">
      <w:pPr>
        <w:rPr>
          <w:rFonts w:cs="Arial"/>
          <w:iCs/>
          <w:sz w:val="24"/>
          <w:szCs w:val="24"/>
        </w:rPr>
      </w:pPr>
      <w:r w:rsidRPr="00EA3EE6">
        <w:rPr>
          <w:rFonts w:cs="Arial"/>
          <w:iCs/>
          <w:sz w:val="24"/>
          <w:szCs w:val="24"/>
        </w:rPr>
        <w:t xml:space="preserve">El </w:t>
      </w:r>
      <w:proofErr w:type="spellStart"/>
      <w:r w:rsidRPr="00EA3EE6">
        <w:rPr>
          <w:rFonts w:cs="Arial"/>
          <w:iCs/>
          <w:sz w:val="24"/>
          <w:szCs w:val="24"/>
        </w:rPr>
        <w:t>objetivo</w:t>
      </w:r>
      <w:proofErr w:type="spellEnd"/>
      <w:r w:rsidRPr="00EA3EE6">
        <w:rPr>
          <w:rFonts w:cs="Arial"/>
          <w:iCs/>
          <w:sz w:val="24"/>
          <w:szCs w:val="24"/>
        </w:rPr>
        <w:t xml:space="preserve"> de </w:t>
      </w:r>
      <w:proofErr w:type="spellStart"/>
      <w:r w:rsidRPr="00EA3EE6">
        <w:rPr>
          <w:rFonts w:cs="Arial"/>
          <w:iCs/>
          <w:sz w:val="24"/>
          <w:szCs w:val="24"/>
        </w:rPr>
        <w:t>estas</w:t>
      </w:r>
      <w:proofErr w:type="spellEnd"/>
      <w:r w:rsidRPr="00EA3EE6">
        <w:rPr>
          <w:rFonts w:cs="Arial"/>
          <w:iCs/>
          <w:sz w:val="24"/>
          <w:szCs w:val="24"/>
        </w:rPr>
        <w:t xml:space="preserve"> </w:t>
      </w:r>
      <w:proofErr w:type="spellStart"/>
      <w:r w:rsidRPr="00EA3EE6">
        <w:rPr>
          <w:rFonts w:cs="Arial"/>
          <w:iCs/>
          <w:sz w:val="24"/>
          <w:szCs w:val="24"/>
        </w:rPr>
        <w:t>recomendaciones</w:t>
      </w:r>
      <w:proofErr w:type="spellEnd"/>
      <w:r w:rsidRPr="00EA3EE6">
        <w:rPr>
          <w:rFonts w:cs="Arial"/>
          <w:iCs/>
          <w:sz w:val="24"/>
          <w:szCs w:val="24"/>
        </w:rPr>
        <w:t xml:space="preserve"> es </w:t>
      </w:r>
      <w:proofErr w:type="spellStart"/>
      <w:r w:rsidRPr="00EA3EE6">
        <w:rPr>
          <w:rFonts w:cs="Arial"/>
          <w:iCs/>
          <w:sz w:val="24"/>
          <w:szCs w:val="24"/>
        </w:rPr>
        <w:t>homogeneizar</w:t>
      </w:r>
      <w:proofErr w:type="spellEnd"/>
      <w:r w:rsidRPr="00EA3EE6">
        <w:rPr>
          <w:rFonts w:cs="Arial"/>
          <w:iCs/>
          <w:sz w:val="24"/>
          <w:szCs w:val="24"/>
        </w:rPr>
        <w:t xml:space="preserve"> el manejo </w:t>
      </w:r>
      <w:proofErr w:type="spellStart"/>
      <w:r w:rsidRPr="00EA3EE6">
        <w:rPr>
          <w:rFonts w:cs="Arial"/>
          <w:iCs/>
          <w:sz w:val="24"/>
          <w:szCs w:val="24"/>
        </w:rPr>
        <w:t>perioperatorio</w:t>
      </w:r>
      <w:proofErr w:type="spellEnd"/>
      <w:r w:rsidRPr="00EA3EE6">
        <w:rPr>
          <w:rFonts w:cs="Arial"/>
          <w:iCs/>
          <w:sz w:val="24"/>
          <w:szCs w:val="24"/>
        </w:rPr>
        <w:t xml:space="preserve"> de la </w:t>
      </w:r>
      <w:proofErr w:type="spellStart"/>
      <w:r w:rsidRPr="00EA3EE6">
        <w:rPr>
          <w:rFonts w:cs="Arial"/>
          <w:iCs/>
          <w:sz w:val="24"/>
          <w:szCs w:val="24"/>
        </w:rPr>
        <w:t>medicación</w:t>
      </w:r>
      <w:proofErr w:type="spellEnd"/>
      <w:r w:rsidRPr="00EA3EE6">
        <w:rPr>
          <w:rFonts w:cs="Arial"/>
          <w:iCs/>
          <w:sz w:val="24"/>
          <w:szCs w:val="24"/>
        </w:rPr>
        <w:t xml:space="preserve"> </w:t>
      </w:r>
      <w:proofErr w:type="spellStart"/>
      <w:r w:rsidRPr="00EA3EE6">
        <w:rPr>
          <w:rFonts w:cs="Arial"/>
          <w:iCs/>
          <w:sz w:val="24"/>
          <w:szCs w:val="24"/>
        </w:rPr>
        <w:t>antitrombótica</w:t>
      </w:r>
      <w:proofErr w:type="spellEnd"/>
      <w:r w:rsidRPr="00EA3EE6">
        <w:rPr>
          <w:rFonts w:cs="Arial"/>
          <w:iCs/>
          <w:sz w:val="24"/>
          <w:szCs w:val="24"/>
        </w:rPr>
        <w:t xml:space="preserve"> en el </w:t>
      </w:r>
      <w:proofErr w:type="spellStart"/>
      <w:r w:rsidRPr="00EA3EE6">
        <w:rPr>
          <w:rFonts w:cs="Arial"/>
          <w:iCs/>
          <w:sz w:val="24"/>
          <w:szCs w:val="24"/>
        </w:rPr>
        <w:t>paciente</w:t>
      </w:r>
      <w:proofErr w:type="spellEnd"/>
      <w:r w:rsidRPr="00EA3EE6">
        <w:rPr>
          <w:rFonts w:cs="Arial"/>
          <w:iCs/>
          <w:sz w:val="24"/>
          <w:szCs w:val="24"/>
        </w:rPr>
        <w:t xml:space="preserve"> con fractura de </w:t>
      </w:r>
      <w:proofErr w:type="spellStart"/>
      <w:r w:rsidRPr="00EA3EE6">
        <w:rPr>
          <w:rFonts w:cs="Arial"/>
          <w:iCs/>
          <w:sz w:val="24"/>
          <w:szCs w:val="24"/>
        </w:rPr>
        <w:t>fémur</w:t>
      </w:r>
      <w:proofErr w:type="spellEnd"/>
      <w:r w:rsidR="005A46D7">
        <w:rPr>
          <w:rFonts w:cs="Arial"/>
          <w:iCs/>
          <w:sz w:val="24"/>
          <w:szCs w:val="24"/>
        </w:rPr>
        <w:t xml:space="preserve"> tributaria de </w:t>
      </w:r>
      <w:proofErr w:type="spellStart"/>
      <w:r w:rsidR="005A46D7">
        <w:rPr>
          <w:rFonts w:cs="Arial"/>
          <w:iCs/>
          <w:sz w:val="24"/>
          <w:szCs w:val="24"/>
        </w:rPr>
        <w:t>cirugía</w:t>
      </w:r>
      <w:proofErr w:type="spellEnd"/>
      <w:r w:rsidRPr="00EA3EE6">
        <w:rPr>
          <w:rFonts w:cs="Arial"/>
          <w:iCs/>
          <w:sz w:val="24"/>
          <w:szCs w:val="24"/>
        </w:rPr>
        <w:t>.</w:t>
      </w:r>
      <w:r w:rsidR="005A46D7">
        <w:rPr>
          <w:rFonts w:cs="Arial"/>
          <w:iCs/>
          <w:sz w:val="24"/>
          <w:szCs w:val="24"/>
        </w:rPr>
        <w:t xml:space="preserve"> </w:t>
      </w:r>
    </w:p>
    <w:p w14:paraId="41D4561A" w14:textId="77777777" w:rsidR="00641832" w:rsidRPr="00EA3EE6" w:rsidRDefault="00641832" w:rsidP="00641832">
      <w:pPr>
        <w:rPr>
          <w:rFonts w:cs="Arial"/>
          <w:sz w:val="24"/>
          <w:szCs w:val="24"/>
        </w:rPr>
      </w:pPr>
    </w:p>
    <w:p w14:paraId="41D4561B" w14:textId="141D5655" w:rsidR="00EF00A0" w:rsidRDefault="00641832" w:rsidP="00641832">
      <w:pPr>
        <w:pStyle w:val="Ttulo1"/>
      </w:pPr>
      <w:bookmarkStart w:id="1" w:name="_Toc135908231"/>
      <w:r w:rsidRPr="00EA3EE6">
        <w:t>Recomanacions</w:t>
      </w:r>
      <w:bookmarkEnd w:id="1"/>
      <w:r w:rsidR="00EF00A0" w:rsidRPr="00EA3EE6">
        <w:t xml:space="preserve"> </w:t>
      </w:r>
    </w:p>
    <w:p w14:paraId="4485ABBB" w14:textId="77777777" w:rsidR="006A1225" w:rsidRPr="006A1225" w:rsidRDefault="006A1225" w:rsidP="006A1225"/>
    <w:p w14:paraId="53F03AAA" w14:textId="198F4C6C" w:rsidR="006A039D" w:rsidRDefault="006A039D" w:rsidP="006A039D">
      <w:pPr>
        <w:pStyle w:val="Textoindependiente"/>
        <w:numPr>
          <w:ilvl w:val="1"/>
          <w:numId w:val="10"/>
        </w:numPr>
        <w:spacing w:after="120" w:line="276" w:lineRule="auto"/>
        <w:rPr>
          <w:b/>
          <w:bCs/>
        </w:rPr>
      </w:pPr>
      <w:r w:rsidRPr="00EA3EE6">
        <w:rPr>
          <w:b/>
          <w:bCs/>
        </w:rPr>
        <w:t>ANTIAGREGANTES PLAQUETARIOS</w:t>
      </w:r>
    </w:p>
    <w:p w14:paraId="297386E1" w14:textId="69A8961B" w:rsidR="004E04BC" w:rsidRPr="004E04BC" w:rsidRDefault="004E04BC" w:rsidP="006A1225">
      <w:pPr>
        <w:pStyle w:val="Textoindependiente"/>
        <w:spacing w:after="120" w:line="276" w:lineRule="auto"/>
      </w:pPr>
      <w:r w:rsidRPr="004E04BC">
        <w:t xml:space="preserve">El manejo perioperatorio de la medicación antiagregante plaquetaria </w:t>
      </w:r>
      <w:r w:rsidR="001052B1">
        <w:t xml:space="preserve">en cirugía precoz (≤48h) de fractura de fémur </w:t>
      </w:r>
      <w:r w:rsidRPr="004E04BC">
        <w:t>queda resumid</w:t>
      </w:r>
      <w:r w:rsidR="006A1225">
        <w:t>o</w:t>
      </w:r>
      <w:r w:rsidRPr="004E04BC">
        <w:t xml:space="preserve"> en el </w:t>
      </w:r>
      <w:r w:rsidRPr="004E04BC">
        <w:rPr>
          <w:u w:val="single"/>
        </w:rPr>
        <w:t>anexo 1</w:t>
      </w:r>
      <w:r w:rsidRPr="004E04BC">
        <w:t>.</w:t>
      </w:r>
    </w:p>
    <w:p w14:paraId="420770B0" w14:textId="2A03D947" w:rsidR="006A039D" w:rsidRPr="00EA3EE6" w:rsidRDefault="006A039D" w:rsidP="006A039D">
      <w:pPr>
        <w:pStyle w:val="Textoindependiente"/>
        <w:numPr>
          <w:ilvl w:val="2"/>
          <w:numId w:val="10"/>
        </w:numPr>
        <w:spacing w:after="120" w:line="276" w:lineRule="auto"/>
        <w:rPr>
          <w:b/>
          <w:bCs/>
        </w:rPr>
      </w:pPr>
      <w:r w:rsidRPr="00EA3EE6">
        <w:rPr>
          <w:b/>
          <w:bCs/>
        </w:rPr>
        <w:t>ÁCIDO ACETILSALICÍLICO (AAS)</w:t>
      </w:r>
    </w:p>
    <w:p w14:paraId="327ADD1D" w14:textId="7F1FE91F" w:rsidR="006A039D" w:rsidRPr="00EA3EE6" w:rsidRDefault="006A039D" w:rsidP="006A039D">
      <w:pPr>
        <w:pStyle w:val="Textoindependiente"/>
      </w:pPr>
      <w:r w:rsidRPr="00EA3EE6">
        <w:t xml:space="preserve">El AAS produce una acetilación irreversible de la COX-1 bloqueando la formación de tromboxano A2 (TXA2) que impide su agregación durante toda su vida útil (7-10 días) porque no puede volver a sintetizar COX-1 de </w:t>
      </w:r>
      <w:proofErr w:type="spellStart"/>
      <w:r w:rsidRPr="00EA3EE6">
        <w:t>novo</w:t>
      </w:r>
      <w:proofErr w:type="spellEnd"/>
      <w:r w:rsidRPr="00EA3EE6">
        <w:t>.</w:t>
      </w:r>
    </w:p>
    <w:p w14:paraId="063F4E4A" w14:textId="77777777" w:rsidR="006A039D" w:rsidRPr="00EA3EE6" w:rsidRDefault="006A039D" w:rsidP="006A039D">
      <w:pPr>
        <w:pStyle w:val="Textoindependiente"/>
      </w:pPr>
    </w:p>
    <w:p w14:paraId="5155B779" w14:textId="77777777" w:rsidR="006A039D" w:rsidRPr="00EA3EE6" w:rsidRDefault="006A039D" w:rsidP="006A039D">
      <w:pPr>
        <w:pStyle w:val="Textoindependiente"/>
      </w:pPr>
      <w:r w:rsidRPr="00EA3EE6">
        <w:t>En la literatura, los términos “</w:t>
      </w:r>
      <w:proofErr w:type="spellStart"/>
      <w:r w:rsidRPr="00EA3EE6">
        <w:t>low-dose</w:t>
      </w:r>
      <w:proofErr w:type="spellEnd"/>
      <w:r w:rsidRPr="00EA3EE6">
        <w:t xml:space="preserve"> </w:t>
      </w:r>
      <w:proofErr w:type="spellStart"/>
      <w:r w:rsidRPr="00EA3EE6">
        <w:t>aspirin</w:t>
      </w:r>
      <w:proofErr w:type="spellEnd"/>
      <w:r w:rsidRPr="00EA3EE6">
        <w:t>” y “</w:t>
      </w:r>
      <w:proofErr w:type="spellStart"/>
      <w:r w:rsidRPr="00EA3EE6">
        <w:t>high-dose</w:t>
      </w:r>
      <w:proofErr w:type="spellEnd"/>
      <w:r w:rsidRPr="00EA3EE6">
        <w:t xml:space="preserve"> </w:t>
      </w:r>
      <w:proofErr w:type="spellStart"/>
      <w:r w:rsidRPr="00EA3EE6">
        <w:t>aspirin</w:t>
      </w:r>
      <w:proofErr w:type="spellEnd"/>
      <w:r w:rsidRPr="00EA3EE6">
        <w:t xml:space="preserve">” han generado confusión respecto a la seguridad de realizar una técnica </w:t>
      </w:r>
      <w:proofErr w:type="spellStart"/>
      <w:r w:rsidRPr="00EA3EE6">
        <w:t>neuroaxial</w:t>
      </w:r>
      <w:proofErr w:type="spellEnd"/>
      <w:r w:rsidRPr="00EA3EE6">
        <w:t xml:space="preserve"> en pacientes en tratamiento con AAS a dosis superiores a 100mg/día </w:t>
      </w:r>
      <w:r w:rsidRPr="00EA3EE6">
        <w:rPr>
          <w:vertAlign w:val="superscript"/>
        </w:rPr>
        <w:t>5,6,7</w:t>
      </w:r>
      <w:r w:rsidRPr="00EA3EE6">
        <w:t>. Desde un punto de vista farmacológico, una dosis de 100 mg/día consigue la inhibición de casi el 100% de la COX-1, y dosis superiores sólo acortan el tiempo en el que se alcanza la máxima inhibición</w:t>
      </w:r>
      <w:r w:rsidRPr="00EA3EE6">
        <w:rPr>
          <w:vertAlign w:val="superscript"/>
        </w:rPr>
        <w:t>8</w:t>
      </w:r>
      <w:r w:rsidRPr="00EA3EE6">
        <w:t xml:space="preserve">. In vivo, el efecto sobre la hemostasia primaria es similar entre monodosis diarias de 75-81mg/día </w:t>
      </w:r>
      <w:proofErr w:type="spellStart"/>
      <w:r w:rsidRPr="00EA3EE6">
        <w:t>ó</w:t>
      </w:r>
      <w:proofErr w:type="spellEnd"/>
      <w:r w:rsidRPr="00EA3EE6">
        <w:t xml:space="preserve"> 300- 325 mg/día (</w:t>
      </w:r>
      <w:proofErr w:type="spellStart"/>
      <w:r w:rsidRPr="00EA3EE6">
        <w:t>low-dose</w:t>
      </w:r>
      <w:proofErr w:type="spellEnd"/>
      <w:r w:rsidRPr="00EA3EE6">
        <w:t xml:space="preserve"> </w:t>
      </w:r>
      <w:proofErr w:type="spellStart"/>
      <w:r w:rsidRPr="00EA3EE6">
        <w:t>aspirin</w:t>
      </w:r>
      <w:proofErr w:type="spellEnd"/>
      <w:r w:rsidRPr="00EA3EE6">
        <w:t>).  “High-</w:t>
      </w:r>
      <w:proofErr w:type="spellStart"/>
      <w:r w:rsidRPr="00EA3EE6">
        <w:t>dose</w:t>
      </w:r>
      <w:proofErr w:type="spellEnd"/>
      <w:r w:rsidRPr="00EA3EE6">
        <w:t xml:space="preserve"> </w:t>
      </w:r>
      <w:proofErr w:type="spellStart"/>
      <w:r w:rsidRPr="00EA3EE6">
        <w:t>aspirin</w:t>
      </w:r>
      <w:proofErr w:type="spellEnd"/>
      <w:r w:rsidRPr="00EA3EE6">
        <w:t>” hace referencia a dosis donde se persigue un efecto antiinflamatorio  bloqueando la COX-2, para ello es necesario dosificaciones superiores a 500mg/dia</w:t>
      </w:r>
      <w:r w:rsidRPr="00EA3EE6">
        <w:rPr>
          <w:vertAlign w:val="superscript"/>
        </w:rPr>
        <w:t>8</w:t>
      </w:r>
      <w:r w:rsidRPr="00EA3EE6">
        <w:t xml:space="preserve">. </w:t>
      </w:r>
    </w:p>
    <w:p w14:paraId="3BF98313" w14:textId="77777777" w:rsidR="006A039D" w:rsidRPr="00EA3EE6" w:rsidRDefault="006A039D" w:rsidP="006A039D">
      <w:pPr>
        <w:pStyle w:val="Textoindependiente"/>
      </w:pPr>
    </w:p>
    <w:p w14:paraId="1DC82727" w14:textId="63DE0A45" w:rsidR="006A1225" w:rsidRDefault="006A039D" w:rsidP="006A039D">
      <w:pPr>
        <w:pStyle w:val="Textoindependiente"/>
      </w:pPr>
      <w:r w:rsidRPr="00EA3EE6">
        <w:lastRenderedPageBreak/>
        <w:t>Las dosificaciones habituales en nuestro país osci</w:t>
      </w:r>
      <w:r w:rsidR="00F074CF">
        <w:t xml:space="preserve">lan entre 100mg/día y 300mg/día </w:t>
      </w:r>
      <w:r w:rsidR="00F074CF" w:rsidRPr="009C54F2">
        <w:t>(</w:t>
      </w:r>
      <w:r w:rsidR="009C54F2">
        <w:t xml:space="preserve">a pesar de que </w:t>
      </w:r>
      <w:r w:rsidR="00F074CF" w:rsidRPr="009C54F2">
        <w:t xml:space="preserve">actualmente no hay evidencias que muestren la superioridad de la dosis de mantenimiento de 300 mg vs 100 mg, por lo que la dosis debería </w:t>
      </w:r>
      <w:proofErr w:type="spellStart"/>
      <w:proofErr w:type="gramStart"/>
      <w:r w:rsidR="00F074CF" w:rsidRPr="009C54F2">
        <w:t>se</w:t>
      </w:r>
      <w:r w:rsidR="009C54F2">
        <w:t>,</w:t>
      </w:r>
      <w:r w:rsidR="00F074CF" w:rsidRPr="009C54F2">
        <w:t>r</w:t>
      </w:r>
      <w:proofErr w:type="spellEnd"/>
      <w:proofErr w:type="gramEnd"/>
      <w:r w:rsidR="00F074CF" w:rsidRPr="009C54F2">
        <w:t xml:space="preserve"> en general</w:t>
      </w:r>
      <w:r w:rsidR="009C54F2">
        <w:t>,</w:t>
      </w:r>
      <w:r w:rsidR="00F074CF" w:rsidRPr="009C54F2">
        <w:t xml:space="preserve"> de 100 mg/24h)</w:t>
      </w:r>
      <w:r w:rsidR="009C54F2" w:rsidRPr="009C54F2">
        <w:t xml:space="preserve">. </w:t>
      </w:r>
      <w:r w:rsidRPr="00EA3EE6">
        <w:t>A pesar de que el AAS aumenta el riesgo hemorrágico de forma cuantitativa, esto no implica peores resultados a nivel de complicaciones hemorrágicas, motivo por el que el AAS puede mantenerse para la mayoría de procedimientos quirúrgicos</w:t>
      </w:r>
      <w:r w:rsidRPr="00EA3EE6">
        <w:rPr>
          <w:vertAlign w:val="superscript"/>
        </w:rPr>
        <w:t>7,9</w:t>
      </w:r>
      <w:r w:rsidRPr="00EA3EE6">
        <w:t xml:space="preserve">. </w:t>
      </w:r>
    </w:p>
    <w:p w14:paraId="7380D213" w14:textId="77777777" w:rsidR="006A1225" w:rsidRDefault="006A1225" w:rsidP="006A039D">
      <w:pPr>
        <w:pStyle w:val="Textoindependiente"/>
      </w:pPr>
    </w:p>
    <w:p w14:paraId="2E817ED3" w14:textId="2292C448" w:rsidR="006A039D" w:rsidRPr="00EA3EE6" w:rsidRDefault="006A039D" w:rsidP="006A039D">
      <w:pPr>
        <w:pStyle w:val="Textoindependiente"/>
      </w:pPr>
      <w:r w:rsidRPr="00EA3EE6">
        <w:t>El AAS en monoterapia (dosis ≤300mg/día) no supone una contraindicación para la anestesia intradural al no incrementar el riesgo de hematoma espinal</w:t>
      </w:r>
      <w:r w:rsidRPr="00EA3EE6">
        <w:rPr>
          <w:vertAlign w:val="superscript"/>
        </w:rPr>
        <w:t>5,7</w:t>
      </w:r>
      <w:r w:rsidRPr="00EA3EE6">
        <w:t>. En el caso concreto de la fractura de cadera, la literatura avala que no es necesario interrumpir el tratamiento con AAS por su escasa repercusión en el sangrado intraoperatorio y caída de hemoglobina</w:t>
      </w:r>
      <w:r w:rsidRPr="00EA3EE6">
        <w:rPr>
          <w:vertAlign w:val="superscript"/>
        </w:rPr>
        <w:t>10</w:t>
      </w:r>
      <w:r w:rsidRPr="00EA3EE6">
        <w:t>.</w:t>
      </w:r>
    </w:p>
    <w:p w14:paraId="278866FC" w14:textId="36E39B47" w:rsidR="008D18A7" w:rsidRPr="00EA3EE6" w:rsidRDefault="008D18A7" w:rsidP="006A039D">
      <w:pPr>
        <w:pStyle w:val="Textoindependiente"/>
      </w:pPr>
    </w:p>
    <w:p w14:paraId="6B55B5F2" w14:textId="5A3C03B7" w:rsidR="008D18A7" w:rsidRPr="00EA3EE6" w:rsidRDefault="008D18A7" w:rsidP="008D18A7">
      <w:pPr>
        <w:pStyle w:val="Textoindependiente"/>
        <w:numPr>
          <w:ilvl w:val="2"/>
          <w:numId w:val="10"/>
        </w:numPr>
        <w:spacing w:after="120" w:line="276" w:lineRule="auto"/>
        <w:rPr>
          <w:b/>
          <w:bCs/>
        </w:rPr>
      </w:pPr>
      <w:r w:rsidRPr="00EA3EE6">
        <w:rPr>
          <w:b/>
          <w:bCs/>
        </w:rPr>
        <w:t>TRIFLUSAL</w:t>
      </w:r>
    </w:p>
    <w:p w14:paraId="5231FC59" w14:textId="77777777" w:rsidR="008D18A7" w:rsidRPr="00EA3EE6" w:rsidRDefault="008D18A7" w:rsidP="008D18A7">
      <w:pPr>
        <w:pStyle w:val="Textoindependiente"/>
      </w:pPr>
      <w:r w:rsidRPr="00EA3EE6">
        <w:t xml:space="preserve">Presenta un doble mecanismo de acción: inhibe la COX-1 de forma similar al AAS y bloquea el enzima fosfodiesterasa. La duración de su efecto es similar al AAS. El manejo de </w:t>
      </w:r>
      <w:proofErr w:type="spellStart"/>
      <w:r w:rsidRPr="00EA3EE6">
        <w:t>triflusal</w:t>
      </w:r>
      <w:proofErr w:type="spellEnd"/>
      <w:r w:rsidRPr="00EA3EE6">
        <w:t xml:space="preserve"> a dosis de 300mg/día es equivalente a AAS 100mg/día. Aunque pertenece a la familia de los salicilatos, se trata de una alternativa segura en pacientes con hipersensibilidad al AAS</w:t>
      </w:r>
      <w:r w:rsidRPr="00EA3EE6">
        <w:rPr>
          <w:vertAlign w:val="superscript"/>
        </w:rPr>
        <w:t>7,11,12</w:t>
      </w:r>
      <w:r w:rsidRPr="00EA3EE6">
        <w:t>.</w:t>
      </w:r>
    </w:p>
    <w:p w14:paraId="5A22E58D" w14:textId="77777777" w:rsidR="008D18A7" w:rsidRPr="00EA3EE6" w:rsidRDefault="008D18A7" w:rsidP="008D18A7">
      <w:pPr>
        <w:pStyle w:val="Textoindependiente"/>
        <w:spacing w:after="120" w:line="276" w:lineRule="auto"/>
        <w:ind w:left="1080"/>
        <w:rPr>
          <w:b/>
          <w:bCs/>
        </w:rPr>
      </w:pPr>
    </w:p>
    <w:p w14:paraId="62AAD0D9" w14:textId="0CCC356F" w:rsidR="008D18A7" w:rsidRPr="00EA3EE6" w:rsidRDefault="008D18A7" w:rsidP="008D18A7">
      <w:pPr>
        <w:pStyle w:val="Textoindependiente"/>
        <w:numPr>
          <w:ilvl w:val="2"/>
          <w:numId w:val="10"/>
        </w:numPr>
        <w:spacing w:after="120" w:line="276" w:lineRule="auto"/>
        <w:rPr>
          <w:b/>
          <w:bCs/>
        </w:rPr>
      </w:pPr>
      <w:r w:rsidRPr="00EA3EE6">
        <w:rPr>
          <w:b/>
          <w:bCs/>
        </w:rPr>
        <w:t>INHIBIDORES FOSFODIESTERASA</w:t>
      </w:r>
    </w:p>
    <w:p w14:paraId="4E1B11F6" w14:textId="112AA783" w:rsidR="008D18A7" w:rsidRPr="00EA3EE6" w:rsidRDefault="008D18A7" w:rsidP="008D18A7">
      <w:pPr>
        <w:pStyle w:val="Textoindependiente"/>
      </w:pPr>
      <w:r w:rsidRPr="00EA3EE6">
        <w:t xml:space="preserve">El </w:t>
      </w:r>
      <w:proofErr w:type="spellStart"/>
      <w:r w:rsidRPr="00EA3EE6">
        <w:t>dipiridamol</w:t>
      </w:r>
      <w:proofErr w:type="spellEnd"/>
      <w:r w:rsidRPr="00EA3EE6">
        <w:t xml:space="preserve"> y el </w:t>
      </w:r>
      <w:proofErr w:type="spellStart"/>
      <w:r w:rsidRPr="00EA3EE6">
        <w:t>cilostazol</w:t>
      </w:r>
      <w:proofErr w:type="spellEnd"/>
      <w:r w:rsidRPr="00EA3EE6">
        <w:t xml:space="preserve"> son inhibidores del enzima fosfodiesterasa e incrementan el AMPc, produciendo un efecto antiagregante débil y reversible, así como un efecto vasodilatador arterial directo. La indicación actual de </w:t>
      </w:r>
      <w:proofErr w:type="spellStart"/>
      <w:r w:rsidRPr="00EA3EE6">
        <w:t>dipiridamol</w:t>
      </w:r>
      <w:proofErr w:type="spellEnd"/>
      <w:r w:rsidRPr="00EA3EE6">
        <w:t xml:space="preserve"> es en combinación con AAS para la prevención secundaria del ictus. El </w:t>
      </w:r>
      <w:proofErr w:type="spellStart"/>
      <w:r w:rsidRPr="00EA3EE6">
        <w:t>cilostazol</w:t>
      </w:r>
      <w:proofErr w:type="spellEnd"/>
      <w:r w:rsidRPr="00EA3EE6">
        <w:t xml:space="preserve"> está indicado en el tratamiento de la claudicación intermitente. El riesgo de sangrado de este fármaco es inferior al de un inhibidor P2Y12 23. En ambos casos, la recuperación de la función de la agregación plaquetaria precisa una suspensión de 5 semividas (24h </w:t>
      </w:r>
      <w:proofErr w:type="spellStart"/>
      <w:r w:rsidRPr="00EA3EE6">
        <w:t>dipiridamol</w:t>
      </w:r>
      <w:proofErr w:type="spellEnd"/>
      <w:r w:rsidRPr="00EA3EE6">
        <w:t xml:space="preserve"> y 48h </w:t>
      </w:r>
      <w:proofErr w:type="spellStart"/>
      <w:r w:rsidRPr="00EA3EE6">
        <w:t>cilostazol</w:t>
      </w:r>
      <w:proofErr w:type="spellEnd"/>
      <w:r w:rsidRPr="00EA3EE6">
        <w:t>)</w:t>
      </w:r>
      <w:r w:rsidRPr="00EA3EE6">
        <w:rPr>
          <w:vertAlign w:val="superscript"/>
        </w:rPr>
        <w:t>6,7,9</w:t>
      </w:r>
      <w:r w:rsidRPr="00EA3EE6">
        <w:t>.</w:t>
      </w:r>
    </w:p>
    <w:p w14:paraId="2C690B4E" w14:textId="77777777" w:rsidR="008D18A7" w:rsidRPr="00EA3EE6" w:rsidRDefault="008D18A7" w:rsidP="008D18A7">
      <w:pPr>
        <w:pStyle w:val="Textoindependiente"/>
      </w:pPr>
    </w:p>
    <w:p w14:paraId="7F8CF13D" w14:textId="4F79CCCA" w:rsidR="008D18A7" w:rsidRPr="00EA3EE6" w:rsidRDefault="008D18A7" w:rsidP="008D18A7">
      <w:pPr>
        <w:pStyle w:val="Textoindependiente"/>
        <w:numPr>
          <w:ilvl w:val="2"/>
          <w:numId w:val="10"/>
        </w:numPr>
        <w:spacing w:after="120" w:line="276" w:lineRule="auto"/>
        <w:rPr>
          <w:b/>
          <w:bCs/>
        </w:rPr>
      </w:pPr>
      <w:r w:rsidRPr="00EA3EE6">
        <w:rPr>
          <w:b/>
          <w:bCs/>
        </w:rPr>
        <w:t>INHIBIDORES ADP</w:t>
      </w:r>
    </w:p>
    <w:p w14:paraId="5D0FC06C" w14:textId="0EB2444B" w:rsidR="008D18A7" w:rsidRPr="00EA3EE6" w:rsidRDefault="008D18A7" w:rsidP="008D18A7">
      <w:pPr>
        <w:pStyle w:val="Textoindependiente"/>
      </w:pPr>
      <w:proofErr w:type="spellStart"/>
      <w:r w:rsidRPr="00EA3EE6">
        <w:t>Clopidogrel</w:t>
      </w:r>
      <w:proofErr w:type="spellEnd"/>
      <w:r w:rsidRPr="00EA3EE6">
        <w:t xml:space="preserve">, </w:t>
      </w:r>
      <w:proofErr w:type="spellStart"/>
      <w:r w:rsidRPr="00EA3EE6">
        <w:t>prasugrel</w:t>
      </w:r>
      <w:proofErr w:type="spellEnd"/>
      <w:r w:rsidRPr="00EA3EE6">
        <w:t xml:space="preserve">  y ticagrelor, producen un bloqueo del receptor P2Y12 de la superficie plaquetaria que impide la activación y agregación plaquetaria inducidas por ADP</w:t>
      </w:r>
      <w:r w:rsidRPr="00EA3EE6">
        <w:rPr>
          <w:vertAlign w:val="superscript"/>
        </w:rPr>
        <w:t>7,9</w:t>
      </w:r>
      <w:r w:rsidRPr="00EA3EE6">
        <w:t xml:space="preserve">. El efecto es irreversible en el caso de </w:t>
      </w:r>
      <w:proofErr w:type="spellStart"/>
      <w:r w:rsidRPr="00EA3EE6">
        <w:t>clopidogrel</w:t>
      </w:r>
      <w:proofErr w:type="spellEnd"/>
      <w:r w:rsidRPr="00EA3EE6">
        <w:t xml:space="preserve"> y </w:t>
      </w:r>
      <w:proofErr w:type="spellStart"/>
      <w:r w:rsidRPr="00EA3EE6">
        <w:t>prasugrel</w:t>
      </w:r>
      <w:proofErr w:type="spellEnd"/>
      <w:r w:rsidRPr="00EA3EE6">
        <w:t>, y reversible en el caso de ticagrelor</w:t>
      </w:r>
      <w:r w:rsidRPr="00EA3EE6">
        <w:rPr>
          <w:vertAlign w:val="superscript"/>
        </w:rPr>
        <w:t>13</w:t>
      </w:r>
      <w:r w:rsidRPr="00EA3EE6">
        <w:t xml:space="preserve">. El poder antiagregante de los diferentes fármacos se evalúan mediante el concepto %IAP (máximo porcentaje de inhibición de la agregación plaquetaria) que oscila entre el 30-60% en el caso de </w:t>
      </w:r>
      <w:proofErr w:type="spellStart"/>
      <w:r w:rsidRPr="00EA3EE6">
        <w:t>clopidogrel</w:t>
      </w:r>
      <w:proofErr w:type="spellEnd"/>
      <w:r w:rsidRPr="00EA3EE6">
        <w:t xml:space="preserve">, 75-80% en el caso de </w:t>
      </w:r>
      <w:proofErr w:type="spellStart"/>
      <w:r w:rsidRPr="00EA3EE6">
        <w:t>prasugrel</w:t>
      </w:r>
      <w:proofErr w:type="spellEnd"/>
      <w:r w:rsidRPr="00EA3EE6">
        <w:t xml:space="preserve"> y 80-90% en el caso de ticagrelor</w:t>
      </w:r>
      <w:r w:rsidRPr="00EA3EE6">
        <w:rPr>
          <w:vertAlign w:val="superscript"/>
        </w:rPr>
        <w:t>13,14</w:t>
      </w:r>
      <w:r w:rsidRPr="00EA3EE6">
        <w:t xml:space="preserve">. </w:t>
      </w:r>
    </w:p>
    <w:p w14:paraId="67F29BBA" w14:textId="77777777" w:rsidR="008D18A7" w:rsidRPr="00EA3EE6" w:rsidRDefault="008D18A7" w:rsidP="008D18A7">
      <w:pPr>
        <w:pStyle w:val="Textoindependiente"/>
      </w:pPr>
    </w:p>
    <w:p w14:paraId="4055D476" w14:textId="505477E2" w:rsidR="008D18A7" w:rsidRPr="00EA3EE6" w:rsidRDefault="008D18A7" w:rsidP="00FE1B27">
      <w:pPr>
        <w:pStyle w:val="Textoindependiente"/>
        <w:numPr>
          <w:ilvl w:val="0"/>
          <w:numId w:val="13"/>
        </w:numPr>
        <w:spacing w:after="120" w:line="276" w:lineRule="auto"/>
        <w:rPr>
          <w:b/>
          <w:bCs/>
        </w:rPr>
      </w:pPr>
      <w:r w:rsidRPr="00EA3EE6">
        <w:rPr>
          <w:b/>
          <w:bCs/>
        </w:rPr>
        <w:t>CLOPIDOGREL EN MONOTERAPIA</w:t>
      </w:r>
    </w:p>
    <w:p w14:paraId="7B603CBC" w14:textId="77777777" w:rsidR="008D18A7" w:rsidRPr="00EA3EE6" w:rsidRDefault="008D18A7" w:rsidP="008D18A7">
      <w:pPr>
        <w:pStyle w:val="Textoindependiente"/>
      </w:pPr>
      <w:r w:rsidRPr="00EA3EE6">
        <w:t xml:space="preserve">Los pacientes con fractura de cadera y en tratamiento con </w:t>
      </w:r>
      <w:proofErr w:type="spellStart"/>
      <w:r w:rsidRPr="00EA3EE6">
        <w:t>clopidogrel</w:t>
      </w:r>
      <w:proofErr w:type="spellEnd"/>
      <w:r w:rsidRPr="00EA3EE6">
        <w:t xml:space="preserve"> en monoterapia pueden ser operados sin demora, bajo anestesia general, sin que esto represente un mayor sangrado significativo</w:t>
      </w:r>
      <w:r w:rsidRPr="00EA3EE6">
        <w:rPr>
          <w:vertAlign w:val="superscript"/>
        </w:rPr>
        <w:t>2,5,15,16</w:t>
      </w:r>
      <w:r w:rsidRPr="00EA3EE6">
        <w:t xml:space="preserve">. Se postulan dos argumentos para explicar este bajo riesgo hemorrágico a pesar de estar en tratamiento con </w:t>
      </w:r>
      <w:proofErr w:type="spellStart"/>
      <w:r w:rsidRPr="00EA3EE6">
        <w:t>clopidogrel</w:t>
      </w:r>
      <w:proofErr w:type="spellEnd"/>
      <w:r w:rsidRPr="00EA3EE6">
        <w:t>: la no respuesta al fármaco (entre 15.9% y 49.5% de casos)</w:t>
      </w:r>
      <w:r w:rsidRPr="00EA3EE6">
        <w:rPr>
          <w:vertAlign w:val="superscript"/>
        </w:rPr>
        <w:t>17</w:t>
      </w:r>
      <w:r w:rsidRPr="00EA3EE6">
        <w:t>, así como las posibles interacciones farmacológicas con otros fármacos como los inhibidores de la bomba de protones, entre otros</w:t>
      </w:r>
      <w:r w:rsidRPr="00EA3EE6">
        <w:rPr>
          <w:vertAlign w:val="superscript"/>
        </w:rPr>
        <w:t>16</w:t>
      </w:r>
      <w:r w:rsidRPr="00EA3EE6">
        <w:t xml:space="preserve">. </w:t>
      </w:r>
    </w:p>
    <w:p w14:paraId="40F460CD" w14:textId="77777777" w:rsidR="008D18A7" w:rsidRPr="00EA3EE6" w:rsidRDefault="008D18A7" w:rsidP="008D18A7">
      <w:pPr>
        <w:pStyle w:val="Textoindependiente"/>
      </w:pPr>
    </w:p>
    <w:p w14:paraId="37C49BEB" w14:textId="6C4720E0" w:rsidR="008D18A7" w:rsidRDefault="008D18A7" w:rsidP="008D18A7">
      <w:pPr>
        <w:pStyle w:val="Textoindependiente"/>
      </w:pPr>
      <w:r w:rsidRPr="00EA3EE6">
        <w:t xml:space="preserve">En esta línea, la guía Británica de Hematología publicada en el 2016, recomienda que los pacientes en tratamiento con </w:t>
      </w:r>
      <w:proofErr w:type="spellStart"/>
      <w:r w:rsidRPr="00EA3EE6">
        <w:t>clopidogrel</w:t>
      </w:r>
      <w:proofErr w:type="spellEnd"/>
      <w:r w:rsidRPr="00EA3EE6">
        <w:t xml:space="preserve"> en monoterapia sean operados de  forma precoz en caso de fractura de cadera</w:t>
      </w:r>
      <w:r w:rsidRPr="00EA3EE6">
        <w:rPr>
          <w:vertAlign w:val="superscript"/>
        </w:rPr>
        <w:t>6</w:t>
      </w:r>
      <w:r w:rsidRPr="00EA3EE6">
        <w:t>. En caso de que el paciente no pueda ser operado en las primeras 48-72h, y si el riesgo trombótico es moderado-alto, se sugiere iniciar tratamiento con AAS 100 mg/día (</w:t>
      </w:r>
      <w:proofErr w:type="spellStart"/>
      <w:r w:rsidRPr="00EA3EE6">
        <w:t>triflusal</w:t>
      </w:r>
      <w:proofErr w:type="spellEnd"/>
      <w:r w:rsidRPr="00EA3EE6">
        <w:t xml:space="preserve"> 300 mg/día si hipersensibilidad a AAS)</w:t>
      </w:r>
      <w:r w:rsidRPr="00EA3EE6">
        <w:rPr>
          <w:vertAlign w:val="superscript"/>
        </w:rPr>
        <w:t>5</w:t>
      </w:r>
      <w:r w:rsidRPr="00EA3EE6">
        <w:t xml:space="preserve">. El </w:t>
      </w:r>
      <w:proofErr w:type="spellStart"/>
      <w:r w:rsidRPr="00EA3EE6">
        <w:t>clopidogrel</w:t>
      </w:r>
      <w:proofErr w:type="spellEnd"/>
      <w:r w:rsidRPr="00EA3EE6">
        <w:t xml:space="preserve"> se reiniciará en el postoperatorio (en ausencia de hemorragia activa)</w:t>
      </w:r>
      <w:r w:rsidRPr="00EA3EE6">
        <w:rPr>
          <w:vertAlign w:val="superscript"/>
        </w:rPr>
        <w:t>7</w:t>
      </w:r>
      <w:r w:rsidRPr="00EA3EE6">
        <w:t>.</w:t>
      </w:r>
    </w:p>
    <w:p w14:paraId="7FC51E78" w14:textId="77777777" w:rsidR="00CF2BF7" w:rsidRPr="00EA3EE6" w:rsidRDefault="00CF2BF7" w:rsidP="008D18A7">
      <w:pPr>
        <w:pStyle w:val="Textoindependiente"/>
      </w:pPr>
    </w:p>
    <w:p w14:paraId="7C32DA6A" w14:textId="77777777" w:rsidR="008D18A7" w:rsidRPr="00EA3EE6" w:rsidRDefault="008D18A7" w:rsidP="008D18A7">
      <w:pPr>
        <w:pStyle w:val="Textoindependiente"/>
      </w:pPr>
    </w:p>
    <w:p w14:paraId="6BAE8390" w14:textId="6C722A67" w:rsidR="00FE1B27" w:rsidRPr="00EA3EE6" w:rsidRDefault="00FE1B27" w:rsidP="00FE1B27">
      <w:pPr>
        <w:pStyle w:val="Textoindependiente"/>
        <w:numPr>
          <w:ilvl w:val="0"/>
          <w:numId w:val="13"/>
        </w:numPr>
        <w:spacing w:after="120" w:line="276" w:lineRule="auto"/>
        <w:rPr>
          <w:b/>
          <w:bCs/>
        </w:rPr>
      </w:pPr>
      <w:r w:rsidRPr="00EA3EE6">
        <w:rPr>
          <w:b/>
          <w:bCs/>
        </w:rPr>
        <w:t>DOBLE ANTIAGREGACIÓN PLAQUETARIA</w:t>
      </w:r>
    </w:p>
    <w:p w14:paraId="20FA2EBD" w14:textId="420DE09F" w:rsidR="00FE1B27" w:rsidRPr="00EA3EE6" w:rsidRDefault="00FE1B27" w:rsidP="00FE1B27">
      <w:pPr>
        <w:pStyle w:val="Textoindependiente"/>
      </w:pPr>
      <w:r w:rsidRPr="00EA3EE6">
        <w:t xml:space="preserve">En el caso de los pacientes doblemente </w:t>
      </w:r>
      <w:proofErr w:type="spellStart"/>
      <w:r w:rsidRPr="00EA3EE6">
        <w:t>antiagregados</w:t>
      </w:r>
      <w:proofErr w:type="spellEnd"/>
      <w:r w:rsidRPr="00EA3EE6">
        <w:t xml:space="preserve"> se recomienda una valoración multidisciplinar</w:t>
      </w:r>
      <w:r w:rsidRPr="00EA3EE6">
        <w:rPr>
          <w:vertAlign w:val="superscript"/>
        </w:rPr>
        <w:t>7,9</w:t>
      </w:r>
      <w:r w:rsidR="00511136">
        <w:t>.</w:t>
      </w:r>
    </w:p>
    <w:p w14:paraId="33A32EFB" w14:textId="77777777" w:rsidR="00FE1B27" w:rsidRPr="00EA3EE6" w:rsidRDefault="00FE1B27" w:rsidP="00FE1B27">
      <w:pPr>
        <w:pStyle w:val="Textoindependiente"/>
      </w:pPr>
    </w:p>
    <w:p w14:paraId="38DFD337" w14:textId="164E2010" w:rsidR="00FE1B27" w:rsidRPr="00EA3EE6" w:rsidRDefault="00FE1B27" w:rsidP="00FE1B27">
      <w:pPr>
        <w:pStyle w:val="Textoindependiente"/>
      </w:pPr>
      <w:r w:rsidRPr="00EA3EE6">
        <w:t xml:space="preserve">Ticagrelor ha demostrado ser clínicamente superior a </w:t>
      </w:r>
      <w:proofErr w:type="spellStart"/>
      <w:r w:rsidRPr="00EA3EE6">
        <w:t>clopidogrel</w:t>
      </w:r>
      <w:proofErr w:type="spellEnd"/>
      <w:r w:rsidRPr="00EA3EE6">
        <w:t xml:space="preserve"> en pacientes con síndrome coronario agudo (SCA), con tasas significativamente más bajas de </w:t>
      </w:r>
      <w:proofErr w:type="spellStart"/>
      <w:r w:rsidRPr="00EA3EE6">
        <w:t>reinfarto</w:t>
      </w:r>
      <w:proofErr w:type="spellEnd"/>
      <w:r w:rsidRPr="00EA3EE6">
        <w:t xml:space="preserve"> y muerte vascular. La particularidad de que es un inhibidor reversible del receptor P2Y12 permite una recuperación suficiente de la función plaquetaria a les 72h de su interrupción </w:t>
      </w:r>
      <w:r w:rsidRPr="00EA3EE6">
        <w:rPr>
          <w:vertAlign w:val="superscript"/>
        </w:rPr>
        <w:t>13,18</w:t>
      </w:r>
      <w:r w:rsidRPr="00EA3EE6">
        <w:t>.</w:t>
      </w:r>
    </w:p>
    <w:p w14:paraId="4E30C739" w14:textId="77777777" w:rsidR="00FE1B27" w:rsidRPr="00EA3EE6" w:rsidRDefault="00FE1B27" w:rsidP="00FE1B27">
      <w:pPr>
        <w:pStyle w:val="Textoindependiente"/>
      </w:pPr>
    </w:p>
    <w:p w14:paraId="7DB6B48D" w14:textId="72D1978B" w:rsidR="00FE1B27" w:rsidRPr="00EA3EE6" w:rsidRDefault="00FE1B27" w:rsidP="00FE1B27">
      <w:pPr>
        <w:pStyle w:val="Textoindependiente"/>
      </w:pPr>
      <w:r w:rsidRPr="00EA3EE6">
        <w:t xml:space="preserve">Prasugrel presenta una superioridad farmacodinámica y farmacocinética en comparación con </w:t>
      </w:r>
      <w:proofErr w:type="spellStart"/>
      <w:r w:rsidRPr="00EA3EE6">
        <w:t>clopidogrel</w:t>
      </w:r>
      <w:proofErr w:type="spellEnd"/>
      <w:r w:rsidRPr="00EA3EE6">
        <w:t>, que se traduce en mejores resultados des del punto de vista de la cardiopatía isquémica pero también se asocia a un mayor riesgo de sangrado en pacientes con SCA a los que se les practica intervencionismo (primario o diferido)</w:t>
      </w:r>
      <w:r w:rsidRPr="00EA3EE6">
        <w:rPr>
          <w:vertAlign w:val="superscript"/>
        </w:rPr>
        <w:t>19</w:t>
      </w:r>
      <w:r w:rsidRPr="00EA3EE6">
        <w:t>.</w:t>
      </w:r>
    </w:p>
    <w:p w14:paraId="6DAF9F83" w14:textId="77777777" w:rsidR="00FE1B27" w:rsidRPr="00EA3EE6" w:rsidRDefault="00FE1B27" w:rsidP="00FE1B27">
      <w:pPr>
        <w:pStyle w:val="Textoindependiente"/>
      </w:pPr>
    </w:p>
    <w:p w14:paraId="653981AD" w14:textId="22BFED57" w:rsidR="00FE1B27" w:rsidRPr="00EA3EE6" w:rsidRDefault="00FE1B27" w:rsidP="00FE1B27">
      <w:pPr>
        <w:pStyle w:val="Textoindependiente"/>
      </w:pPr>
      <w:r w:rsidRPr="00EA3EE6">
        <w:t>En la fractura de fémur, la doble antiagregación se relaciona con una mayor incidencia de sangrado perioperatorio (14.7% doble AAP vs 4.1% sólo AAS)</w:t>
      </w:r>
      <w:r w:rsidRPr="00EA3EE6">
        <w:rPr>
          <w:vertAlign w:val="superscript"/>
        </w:rPr>
        <w:t>20</w:t>
      </w:r>
      <w:r w:rsidRPr="00EA3EE6">
        <w:t>. Por otro lado, la demora quirúrgica no cambia las necesidades transfusionales, y sí que se asocia a un incremento de la morbilidad y la mortalidad a 30 días</w:t>
      </w:r>
      <w:r w:rsidRPr="00EA3EE6">
        <w:rPr>
          <w:vertAlign w:val="superscript"/>
        </w:rPr>
        <w:t>21</w:t>
      </w:r>
      <w:r w:rsidRPr="00EA3EE6">
        <w:t xml:space="preserve">, </w:t>
      </w:r>
      <w:r w:rsidR="00E93434">
        <w:t xml:space="preserve">así </w:t>
      </w:r>
      <w:r w:rsidRPr="00EA3EE6">
        <w:t>que no se recomienda la demora más allá de las 48 horas en el paciente con fractura de fémur con doble antiagregación</w:t>
      </w:r>
      <w:r w:rsidRPr="00EA3EE6">
        <w:rPr>
          <w:vertAlign w:val="superscript"/>
        </w:rPr>
        <w:t>2</w:t>
      </w:r>
      <w:r w:rsidRPr="00EA3EE6">
        <w:t xml:space="preserve">. </w:t>
      </w:r>
    </w:p>
    <w:p w14:paraId="024099A5" w14:textId="77777777" w:rsidR="00FE1B27" w:rsidRPr="00EA3EE6" w:rsidRDefault="00FE1B27" w:rsidP="00FE1B27">
      <w:pPr>
        <w:pStyle w:val="Textoindependiente"/>
      </w:pPr>
    </w:p>
    <w:p w14:paraId="6A30BECF" w14:textId="23C9EE88" w:rsidR="00FE1B27" w:rsidRPr="00EA3EE6" w:rsidRDefault="00FE1B27" w:rsidP="00FE1B27">
      <w:pPr>
        <w:pStyle w:val="Textoindependiente"/>
      </w:pPr>
      <w:r w:rsidRPr="00EA3EE6">
        <w:t xml:space="preserve">Ahora bien, considerándose una cirugía </w:t>
      </w:r>
      <w:proofErr w:type="spellStart"/>
      <w:r w:rsidRPr="00EA3EE6">
        <w:t>semi-urgente</w:t>
      </w:r>
      <w:proofErr w:type="spellEnd"/>
      <w:r w:rsidRPr="00EA3EE6">
        <w:t>, y conociendo que cada día se renueva entre un 10-15% de la población plaquetaria</w:t>
      </w:r>
      <w:r w:rsidRPr="00EA3EE6">
        <w:rPr>
          <w:vertAlign w:val="superscript"/>
        </w:rPr>
        <w:t>7,22</w:t>
      </w:r>
      <w:r w:rsidRPr="00EA3EE6">
        <w:t>, que contribuiría a la hemostasia primaria; se propone una interrupción corta de la doble antiagregación (AAS e IADP) desde el ingreso y hasta la cirugía precoz, en las primeras 48 horas, y reintroducir lo antes posible</w:t>
      </w:r>
      <w:r w:rsidR="00927691">
        <w:t xml:space="preserve"> </w:t>
      </w:r>
      <w:r w:rsidRPr="00EA3EE6">
        <w:t>la medicación antiagregante en el postoperatorio</w:t>
      </w:r>
      <w:r w:rsidR="009276F9">
        <w:t xml:space="preserve"> (</w:t>
      </w:r>
      <w:r w:rsidR="009276F9" w:rsidRPr="00EB7FB0">
        <w:rPr>
          <w:sz w:val="22"/>
          <w:szCs w:val="22"/>
        </w:rPr>
        <w:t>anexo 1</w:t>
      </w:r>
      <w:r w:rsidR="009276F9">
        <w:t>).</w:t>
      </w:r>
    </w:p>
    <w:p w14:paraId="1FC4D4C0" w14:textId="77777777" w:rsidR="00FE1B27" w:rsidRPr="00EA3EE6" w:rsidRDefault="00FE1B27" w:rsidP="00FE1B27">
      <w:pPr>
        <w:pStyle w:val="Textoindependiente"/>
      </w:pPr>
    </w:p>
    <w:p w14:paraId="6B14F9CB" w14:textId="77777777" w:rsidR="00FE1B27" w:rsidRPr="00EA3EE6" w:rsidRDefault="00FE1B27" w:rsidP="00FE1B27">
      <w:pPr>
        <w:pStyle w:val="Textoindependiente"/>
      </w:pPr>
      <w:r w:rsidRPr="00EA3EE6">
        <w:t>No se recomienda la transfusión rutinaria de plaquetas ni de fármacos prohemostáticos de forma profiláctica</w:t>
      </w:r>
      <w:r w:rsidRPr="00EA3EE6">
        <w:rPr>
          <w:vertAlign w:val="superscript"/>
        </w:rPr>
        <w:t>7</w:t>
      </w:r>
      <w:r w:rsidRPr="00EA3EE6">
        <w:t>. Se solicitarán plaquetas en reserva (2pool) con suficiente antelación para disponer con celeridad en caso de ser necesaria su transfusión.</w:t>
      </w:r>
    </w:p>
    <w:p w14:paraId="1EBFBE7C" w14:textId="779CB730" w:rsidR="00FE1B27" w:rsidRDefault="00FE1B27" w:rsidP="00FE1B27">
      <w:pPr>
        <w:pStyle w:val="Textoindependiente"/>
      </w:pPr>
      <w:r w:rsidRPr="00EA3EE6">
        <w:t>Sólo en caso de hemorragia no controlada o sangrado microvascular, se procederá a la administración de plaquetas y/o fármacos prohemostáticos (ácido tranexámico, desmopresina, fibrinógeno)</w:t>
      </w:r>
      <w:r w:rsidRPr="00EA3EE6">
        <w:rPr>
          <w:vertAlign w:val="superscript"/>
        </w:rPr>
        <w:t>7</w:t>
      </w:r>
      <w:r w:rsidRPr="00EA3EE6">
        <w:t xml:space="preserve">. </w:t>
      </w:r>
      <w:r w:rsidR="00E87D83">
        <w:t>(</w:t>
      </w:r>
      <w:r w:rsidR="00E87D83" w:rsidRPr="008B63D6">
        <w:rPr>
          <w:sz w:val="22"/>
          <w:szCs w:val="22"/>
        </w:rPr>
        <w:t>Figura 1</w:t>
      </w:r>
      <w:r w:rsidR="00E87D83">
        <w:t>)</w:t>
      </w:r>
    </w:p>
    <w:p w14:paraId="522CA991" w14:textId="286CB646" w:rsidR="00927691" w:rsidRDefault="00927691" w:rsidP="00FE1B27">
      <w:pPr>
        <w:pStyle w:val="Textoindependiente"/>
      </w:pPr>
    </w:p>
    <w:p w14:paraId="27F53B8E" w14:textId="77777777" w:rsidR="00927691" w:rsidRDefault="00927691" w:rsidP="00927691">
      <w:pPr>
        <w:pStyle w:val="Textoindependiente"/>
        <w:rPr>
          <w:b/>
          <w:bCs/>
          <w:sz w:val="20"/>
          <w:szCs w:val="20"/>
        </w:rPr>
      </w:pPr>
    </w:p>
    <w:p w14:paraId="7769C3F1" w14:textId="77777777" w:rsidR="00927691" w:rsidRDefault="00927691" w:rsidP="00927691">
      <w:pPr>
        <w:pStyle w:val="Textoindependiente"/>
        <w:rPr>
          <w:b/>
          <w:bCs/>
          <w:sz w:val="20"/>
          <w:szCs w:val="20"/>
        </w:rPr>
      </w:pPr>
    </w:p>
    <w:p w14:paraId="178781F0" w14:textId="77777777" w:rsidR="00927691" w:rsidRDefault="00927691" w:rsidP="00927691">
      <w:pPr>
        <w:pStyle w:val="Textoindependiente"/>
        <w:rPr>
          <w:b/>
          <w:bCs/>
          <w:sz w:val="20"/>
          <w:szCs w:val="20"/>
        </w:rPr>
      </w:pPr>
    </w:p>
    <w:p w14:paraId="769A82F9" w14:textId="77777777" w:rsidR="00927691" w:rsidRDefault="00927691" w:rsidP="00927691">
      <w:pPr>
        <w:pStyle w:val="Textoindependiente"/>
        <w:rPr>
          <w:b/>
          <w:bCs/>
          <w:sz w:val="20"/>
          <w:szCs w:val="20"/>
        </w:rPr>
      </w:pPr>
    </w:p>
    <w:p w14:paraId="20304E41" w14:textId="77777777" w:rsidR="00927691" w:rsidRDefault="00927691" w:rsidP="00927691">
      <w:pPr>
        <w:pStyle w:val="Textoindependiente"/>
        <w:rPr>
          <w:b/>
          <w:bCs/>
          <w:sz w:val="20"/>
          <w:szCs w:val="20"/>
        </w:rPr>
      </w:pPr>
    </w:p>
    <w:p w14:paraId="6B970B76" w14:textId="77777777" w:rsidR="00927691" w:rsidRDefault="00927691" w:rsidP="00927691">
      <w:pPr>
        <w:pStyle w:val="Textoindependiente"/>
        <w:rPr>
          <w:b/>
          <w:bCs/>
          <w:sz w:val="20"/>
          <w:szCs w:val="20"/>
        </w:rPr>
      </w:pPr>
    </w:p>
    <w:p w14:paraId="31BB1EC2" w14:textId="77777777" w:rsidR="00927691" w:rsidRDefault="00927691" w:rsidP="00927691">
      <w:pPr>
        <w:pStyle w:val="Textoindependiente"/>
        <w:rPr>
          <w:b/>
          <w:bCs/>
          <w:sz w:val="20"/>
          <w:szCs w:val="20"/>
        </w:rPr>
      </w:pPr>
    </w:p>
    <w:p w14:paraId="4255C2AA" w14:textId="77777777" w:rsidR="00927691" w:rsidRDefault="00927691" w:rsidP="00927691">
      <w:pPr>
        <w:pStyle w:val="Textoindependiente"/>
        <w:rPr>
          <w:b/>
          <w:bCs/>
          <w:sz w:val="20"/>
          <w:szCs w:val="20"/>
        </w:rPr>
      </w:pPr>
    </w:p>
    <w:p w14:paraId="493F574B" w14:textId="77777777" w:rsidR="00927691" w:rsidRDefault="00927691" w:rsidP="00927691">
      <w:pPr>
        <w:pStyle w:val="Textoindependiente"/>
        <w:rPr>
          <w:b/>
          <w:bCs/>
          <w:sz w:val="20"/>
          <w:szCs w:val="20"/>
        </w:rPr>
      </w:pPr>
    </w:p>
    <w:p w14:paraId="33E356AB" w14:textId="77777777" w:rsidR="00927691" w:rsidRDefault="00927691" w:rsidP="00927691">
      <w:pPr>
        <w:pStyle w:val="Textoindependiente"/>
        <w:rPr>
          <w:b/>
          <w:bCs/>
          <w:sz w:val="20"/>
          <w:szCs w:val="20"/>
        </w:rPr>
      </w:pPr>
    </w:p>
    <w:p w14:paraId="2FD93068" w14:textId="1E04A965" w:rsidR="00927691" w:rsidRDefault="00927691" w:rsidP="00927691">
      <w:pPr>
        <w:pStyle w:val="Textoindependiente"/>
        <w:rPr>
          <w:b/>
          <w:bCs/>
          <w:sz w:val="20"/>
          <w:szCs w:val="20"/>
        </w:rPr>
      </w:pPr>
      <w:r w:rsidRPr="00E87D83">
        <w:rPr>
          <w:b/>
          <w:bCs/>
          <w:sz w:val="20"/>
          <w:szCs w:val="20"/>
        </w:rPr>
        <w:t xml:space="preserve">Figura </w:t>
      </w:r>
      <w:r>
        <w:rPr>
          <w:b/>
          <w:bCs/>
          <w:sz w:val="20"/>
          <w:szCs w:val="20"/>
        </w:rPr>
        <w:t>1</w:t>
      </w:r>
      <w:r w:rsidRPr="00E87D83">
        <w:rPr>
          <w:b/>
          <w:bCs/>
          <w:sz w:val="20"/>
          <w:szCs w:val="20"/>
        </w:rPr>
        <w:t xml:space="preserve">. Actuación ante hemorragia relacionada con </w:t>
      </w:r>
      <w:r>
        <w:rPr>
          <w:b/>
          <w:bCs/>
          <w:sz w:val="20"/>
          <w:szCs w:val="20"/>
        </w:rPr>
        <w:t>antiagregantes plaquetarios en cirugía urgente de fractura de fémur</w:t>
      </w:r>
      <w:r w:rsidRPr="00E87D83">
        <w:rPr>
          <w:b/>
          <w:bCs/>
          <w:sz w:val="20"/>
          <w:szCs w:val="20"/>
        </w:rPr>
        <w:t>.</w:t>
      </w:r>
    </w:p>
    <w:p w14:paraId="6D995EDD" w14:textId="77777777" w:rsidR="00927691" w:rsidRDefault="00927691" w:rsidP="00FE1B27">
      <w:pPr>
        <w:pStyle w:val="Textoindependiente"/>
      </w:pPr>
    </w:p>
    <w:p w14:paraId="45C5200C" w14:textId="3496801E" w:rsidR="00E87D83" w:rsidRPr="00E87D83" w:rsidRDefault="00CD7EE4" w:rsidP="00CD7EE4">
      <w:pPr>
        <w:pStyle w:val="Textoindependiente"/>
        <w:jc w:val="center"/>
        <w:rPr>
          <w:b/>
          <w:bCs/>
          <w:sz w:val="20"/>
          <w:szCs w:val="20"/>
        </w:rPr>
      </w:pPr>
      <w:r>
        <w:rPr>
          <w:b/>
          <w:bCs/>
          <w:noProof/>
          <w:sz w:val="20"/>
          <w:szCs w:val="20"/>
        </w:rPr>
        <w:drawing>
          <wp:inline distT="0" distB="0" distL="0" distR="0" wp14:anchorId="4AEB1BF0" wp14:editId="0A9C9897">
            <wp:extent cx="1879600" cy="26924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9600" cy="2692400"/>
                    </a:xfrm>
                    <a:prstGeom prst="rect">
                      <a:avLst/>
                    </a:prstGeom>
                    <a:noFill/>
                    <a:ln>
                      <a:noFill/>
                    </a:ln>
                  </pic:spPr>
                </pic:pic>
              </a:graphicData>
            </a:graphic>
          </wp:inline>
        </w:drawing>
      </w:r>
    </w:p>
    <w:p w14:paraId="54C8C271" w14:textId="46BCB54D" w:rsidR="008D18A7" w:rsidRDefault="008D18A7" w:rsidP="00FE1B27">
      <w:pPr>
        <w:pStyle w:val="Textoindependiente"/>
        <w:ind w:left="2160"/>
      </w:pPr>
    </w:p>
    <w:p w14:paraId="50842C87" w14:textId="77777777" w:rsidR="009276F9" w:rsidRPr="00EA3EE6" w:rsidRDefault="009276F9" w:rsidP="00FE1B27">
      <w:pPr>
        <w:pStyle w:val="Textoindependiente"/>
        <w:ind w:left="2160"/>
      </w:pPr>
    </w:p>
    <w:p w14:paraId="5E0E1F6C" w14:textId="5145B02D" w:rsidR="000C0CE3" w:rsidRPr="00EA3EE6" w:rsidRDefault="000C0CE3" w:rsidP="000C0CE3">
      <w:pPr>
        <w:pStyle w:val="Textoindependiente"/>
        <w:numPr>
          <w:ilvl w:val="1"/>
          <w:numId w:val="10"/>
        </w:numPr>
        <w:spacing w:after="120" w:line="276" w:lineRule="auto"/>
        <w:rPr>
          <w:b/>
          <w:bCs/>
        </w:rPr>
      </w:pPr>
      <w:r w:rsidRPr="00EA3EE6">
        <w:rPr>
          <w:b/>
          <w:bCs/>
        </w:rPr>
        <w:t>ANTICOAGULANTES ORALES</w:t>
      </w:r>
    </w:p>
    <w:p w14:paraId="5ED86878" w14:textId="1C9AB7D7" w:rsidR="000C0CE3" w:rsidRPr="00EA3EE6" w:rsidRDefault="000C0CE3" w:rsidP="000C0CE3">
      <w:pPr>
        <w:pStyle w:val="Textoindependiente"/>
        <w:rPr>
          <w:color w:val="000000" w:themeColor="text1"/>
        </w:rPr>
      </w:pPr>
      <w:r w:rsidRPr="00EA3EE6">
        <w:t xml:space="preserve">Dentro de los anticoagulantes orales (ACO), tradicionalmente se han empleado los </w:t>
      </w:r>
      <w:r w:rsidRPr="00EA3EE6">
        <w:rPr>
          <w:color w:val="000000" w:themeColor="text1"/>
        </w:rPr>
        <w:t xml:space="preserve">anticoagulantes </w:t>
      </w:r>
      <w:proofErr w:type="spellStart"/>
      <w:r w:rsidRPr="00EA3EE6">
        <w:rPr>
          <w:color w:val="000000" w:themeColor="text1"/>
        </w:rPr>
        <w:t>antivitamina</w:t>
      </w:r>
      <w:proofErr w:type="spellEnd"/>
      <w:r w:rsidRPr="00EA3EE6">
        <w:rPr>
          <w:color w:val="000000" w:themeColor="text1"/>
        </w:rPr>
        <w:t xml:space="preserve"> K (AVK) como </w:t>
      </w:r>
      <w:proofErr w:type="spellStart"/>
      <w:r w:rsidRPr="00EA3EE6">
        <w:rPr>
          <w:color w:val="000000" w:themeColor="text1"/>
        </w:rPr>
        <w:t>warfarina</w:t>
      </w:r>
      <w:proofErr w:type="spellEnd"/>
      <w:r w:rsidRPr="00EA3EE6">
        <w:rPr>
          <w:color w:val="000000" w:themeColor="text1"/>
        </w:rPr>
        <w:t xml:space="preserve"> o </w:t>
      </w:r>
      <w:proofErr w:type="spellStart"/>
      <w:r w:rsidRPr="00EA3EE6">
        <w:rPr>
          <w:color w:val="000000" w:themeColor="text1"/>
        </w:rPr>
        <w:t>aldocumar</w:t>
      </w:r>
      <w:proofErr w:type="spellEnd"/>
      <w:r w:rsidRPr="00EA3EE6">
        <w:rPr>
          <w:color w:val="000000" w:themeColor="text1"/>
        </w:rPr>
        <w:t xml:space="preserve">. </w:t>
      </w:r>
      <w:r w:rsidRPr="00EA3EE6">
        <w:t xml:space="preserve">Recientemente, el uso de los anticoagulantes orales </w:t>
      </w:r>
      <w:r w:rsidRPr="00EA3EE6">
        <w:rPr>
          <w:color w:val="000000" w:themeColor="text1"/>
        </w:rPr>
        <w:t xml:space="preserve">directos (ACOD) ha </w:t>
      </w:r>
      <w:r w:rsidRPr="00EA3EE6">
        <w:t xml:space="preserve">aumentado debido, entre otras causas, a que no precisan una monitorización rutinaria dado su efecto predecible sobre la coagulación. Entre los anticoagulantes orales directos se encuentran fármacos como </w:t>
      </w:r>
      <w:proofErr w:type="spellStart"/>
      <w:r w:rsidRPr="00EA3EE6">
        <w:rPr>
          <w:color w:val="000000" w:themeColor="text1"/>
        </w:rPr>
        <w:t>dabigatrán</w:t>
      </w:r>
      <w:proofErr w:type="spellEnd"/>
      <w:r w:rsidRPr="00EA3EE6">
        <w:rPr>
          <w:color w:val="000000" w:themeColor="text1"/>
        </w:rPr>
        <w:t xml:space="preserve">, rivaroxabán, </w:t>
      </w:r>
      <w:proofErr w:type="spellStart"/>
      <w:r w:rsidRPr="00EA3EE6">
        <w:rPr>
          <w:color w:val="000000" w:themeColor="text1"/>
        </w:rPr>
        <w:t>apixabán</w:t>
      </w:r>
      <w:proofErr w:type="spellEnd"/>
      <w:r w:rsidRPr="00EA3EE6">
        <w:rPr>
          <w:color w:val="000000" w:themeColor="text1"/>
        </w:rPr>
        <w:t xml:space="preserve"> y </w:t>
      </w:r>
      <w:proofErr w:type="spellStart"/>
      <w:r w:rsidRPr="00EA3EE6">
        <w:rPr>
          <w:color w:val="000000" w:themeColor="text1"/>
        </w:rPr>
        <w:t>edoxabán</w:t>
      </w:r>
      <w:proofErr w:type="spellEnd"/>
      <w:r w:rsidRPr="00EA3EE6">
        <w:rPr>
          <w:color w:val="000000" w:themeColor="text1"/>
        </w:rPr>
        <w:t xml:space="preserve">. </w:t>
      </w:r>
    </w:p>
    <w:p w14:paraId="768B7C62" w14:textId="77777777" w:rsidR="000C0CE3" w:rsidRPr="00EA3EE6" w:rsidRDefault="000C0CE3" w:rsidP="000C0CE3">
      <w:pPr>
        <w:pStyle w:val="Textoindependiente"/>
        <w:rPr>
          <w:color w:val="000000" w:themeColor="text1"/>
        </w:rPr>
      </w:pPr>
    </w:p>
    <w:p w14:paraId="2F2CB590" w14:textId="62FB823A" w:rsidR="000C0CE3" w:rsidRDefault="000C0CE3" w:rsidP="000C0CE3">
      <w:pPr>
        <w:pStyle w:val="Textoindependiente"/>
      </w:pPr>
      <w:r w:rsidRPr="00EA3EE6">
        <w:t>Hay estudios que demuestran que el empleo de anticoagulantes se asocia con un aumento leve del riesgo de transfusión perioperatoria en cirugía de fractura de fémur sin aumento de la mortalidad</w:t>
      </w:r>
      <w:r w:rsidRPr="00EA3EE6">
        <w:rPr>
          <w:vertAlign w:val="superscript"/>
        </w:rPr>
        <w:t>23,24,25</w:t>
      </w:r>
      <w:r w:rsidRPr="00EA3EE6">
        <w:t>.</w:t>
      </w:r>
    </w:p>
    <w:p w14:paraId="43EA24F3" w14:textId="77777777" w:rsidR="009E222A" w:rsidRDefault="009E222A" w:rsidP="000C0CE3">
      <w:pPr>
        <w:pStyle w:val="Textoindependiente"/>
      </w:pPr>
    </w:p>
    <w:p w14:paraId="5C0B6F1D" w14:textId="11AB3945" w:rsidR="009E222A" w:rsidRPr="00EA3EE6" w:rsidRDefault="009E222A" w:rsidP="000C0CE3">
      <w:pPr>
        <w:pStyle w:val="Textoindependiente"/>
      </w:pPr>
      <w:r>
        <w:t xml:space="preserve">El manejo perioperatorio de la medicación anticoagulante </w:t>
      </w:r>
      <w:r w:rsidR="004B5955">
        <w:t xml:space="preserve">en cirugía precoz (≤48h) de fractura de fémur </w:t>
      </w:r>
      <w:r>
        <w:t xml:space="preserve">queda recogido en el </w:t>
      </w:r>
      <w:r w:rsidRPr="009E222A">
        <w:rPr>
          <w:u w:val="single"/>
        </w:rPr>
        <w:t>anexo 2</w:t>
      </w:r>
      <w:r>
        <w:t>.</w:t>
      </w:r>
    </w:p>
    <w:p w14:paraId="41D4561D" w14:textId="7969611C" w:rsidR="009700FC" w:rsidRPr="00EA3EE6" w:rsidRDefault="009700FC" w:rsidP="000C0CE3">
      <w:pPr>
        <w:pStyle w:val="Prrafodelista"/>
        <w:ind w:left="1080"/>
        <w:rPr>
          <w:rFonts w:cs="Arial"/>
          <w:sz w:val="24"/>
          <w:szCs w:val="24"/>
        </w:rPr>
      </w:pPr>
    </w:p>
    <w:p w14:paraId="406EB179" w14:textId="10C39A57" w:rsidR="000C0CE3" w:rsidRPr="00EA3EE6" w:rsidRDefault="000C0CE3" w:rsidP="00EA3EE6">
      <w:pPr>
        <w:pStyle w:val="Textoindependiente"/>
        <w:numPr>
          <w:ilvl w:val="2"/>
          <w:numId w:val="10"/>
        </w:numPr>
        <w:spacing w:after="120" w:line="276" w:lineRule="auto"/>
        <w:rPr>
          <w:b/>
          <w:bCs/>
        </w:rPr>
      </w:pPr>
      <w:r w:rsidRPr="00EA3EE6">
        <w:rPr>
          <w:b/>
          <w:bCs/>
          <w:color w:val="000000" w:themeColor="text1"/>
        </w:rPr>
        <w:t>ANTIVITAMINA K (AVK)</w:t>
      </w:r>
    </w:p>
    <w:p w14:paraId="719B3EAE" w14:textId="63AA964C" w:rsidR="000C0CE3" w:rsidRPr="00EA3EE6" w:rsidRDefault="000C0CE3" w:rsidP="000C0CE3">
      <w:pPr>
        <w:pStyle w:val="Textoindependiente"/>
      </w:pPr>
      <w:r w:rsidRPr="00EA3EE6">
        <w:t xml:space="preserve">En este grupo encontramos la </w:t>
      </w:r>
      <w:proofErr w:type="spellStart"/>
      <w:r w:rsidRPr="00EA3EE6">
        <w:t>warfarina</w:t>
      </w:r>
      <w:proofErr w:type="spellEnd"/>
      <w:r w:rsidRPr="00EA3EE6">
        <w:t xml:space="preserve">  y el acenocumarol, que interfieren con la γ-carboxilación de los factores de coagulación vitamina K dependientes (factores II, VII, IX y X), así como la proteína C y S. Ambos, acenocumarol y Warfarina, son absorbidos rápidamente en el tubo digestivo con una biodisponibilidad superior al 60%. La máxima actividad, una vez se ha administrado una dosis de acenocumarol, se obtiene a las 36-48 horas y con la </w:t>
      </w:r>
      <w:proofErr w:type="spellStart"/>
      <w:r w:rsidRPr="00EA3EE6">
        <w:t>warfarina</w:t>
      </w:r>
      <w:proofErr w:type="spellEnd"/>
      <w:r w:rsidRPr="00EA3EE6">
        <w:t xml:space="preserve"> a las 72-96 horas</w:t>
      </w:r>
      <w:r w:rsidRPr="00EA3EE6">
        <w:rPr>
          <w:vertAlign w:val="superscript"/>
        </w:rPr>
        <w:t>5,9</w:t>
      </w:r>
      <w:r w:rsidRPr="00EA3EE6">
        <w:t xml:space="preserve">. Dado que son  principalmente metabolizados por el hígado, la función renal casi no influye en la eliminación del fármaco. Se monitorizan con la determinación del  INR (International </w:t>
      </w:r>
      <w:proofErr w:type="spellStart"/>
      <w:r w:rsidRPr="00EA3EE6">
        <w:t>Normalized</w:t>
      </w:r>
      <w:proofErr w:type="spellEnd"/>
      <w:r w:rsidRPr="00EA3EE6">
        <w:t xml:space="preserve"> Ratio), que se correlaciona de forma lineal con su efecto anticoagulante. </w:t>
      </w:r>
    </w:p>
    <w:p w14:paraId="2254C950" w14:textId="77777777" w:rsidR="000C0CE3" w:rsidRPr="00EA3EE6" w:rsidRDefault="000C0CE3" w:rsidP="000C0CE3">
      <w:pPr>
        <w:pStyle w:val="Textoindependiente"/>
      </w:pPr>
    </w:p>
    <w:p w14:paraId="6BC07D3D" w14:textId="0FA9695E" w:rsidR="000C0CE3" w:rsidRPr="00EA3EE6" w:rsidRDefault="000C0CE3" w:rsidP="000C0CE3">
      <w:pPr>
        <w:pStyle w:val="Textoindependiente"/>
      </w:pPr>
      <w:r w:rsidRPr="00EA3EE6">
        <w:lastRenderedPageBreak/>
        <w:t>Con el objetivo de poder operar en las primeras 48h, está justificado revertir su efecto con vitamina K a bajas dosis (10 mg per vía endovenosa)</w:t>
      </w:r>
      <w:r w:rsidRPr="00EA3EE6">
        <w:rPr>
          <w:vertAlign w:val="superscript"/>
        </w:rPr>
        <w:t>2,5</w:t>
      </w:r>
      <w:r w:rsidRPr="00EA3EE6">
        <w:t xml:space="preserve">. Al tratarse de una urgencia diferible, les guías no recomiendan la reversión rutinaria con plasma ni con concentrado de complejo protrombínico </w:t>
      </w:r>
      <w:r w:rsidRPr="00EA3EE6">
        <w:rPr>
          <w:vertAlign w:val="superscript"/>
        </w:rPr>
        <w:t>2,5,6,9</w:t>
      </w:r>
      <w:r w:rsidR="008E77C7">
        <w:t>.</w:t>
      </w:r>
    </w:p>
    <w:p w14:paraId="41F9D269" w14:textId="77777777" w:rsidR="000C0CE3" w:rsidRPr="00EA3EE6" w:rsidRDefault="000C0CE3" w:rsidP="000C0CE3">
      <w:pPr>
        <w:pStyle w:val="Textoindependiente"/>
      </w:pPr>
    </w:p>
    <w:p w14:paraId="529179E1" w14:textId="2809E515" w:rsidR="000C0CE3" w:rsidRPr="00EA3EE6" w:rsidRDefault="000C0CE3" w:rsidP="000C0CE3">
      <w:pPr>
        <w:pStyle w:val="Textoindependiente"/>
      </w:pPr>
      <w:r w:rsidRPr="00EA3EE6">
        <w:t>Una vez el INR sea ≤1.5, puede realizarse la cirugía (bajo anestesia general o intradural)</w:t>
      </w:r>
      <w:r w:rsidRPr="00EA3EE6">
        <w:rPr>
          <w:vertAlign w:val="superscript"/>
        </w:rPr>
        <w:t>2,5</w:t>
      </w:r>
      <w:r w:rsidRPr="00EA3EE6">
        <w:t>. En el caso excepcional de que a pesar de la suspensión de la terapia con AVK y el tratamiento con vitamina K endovenosa, el INR sea ≤1.8, se procederá a cirugía bajo anestesia general para no demorar la cirugía más de 48 horas</w:t>
      </w:r>
      <w:r w:rsidRPr="00EA3EE6">
        <w:rPr>
          <w:vertAlign w:val="superscript"/>
        </w:rPr>
        <w:t>2</w:t>
      </w:r>
      <w:r w:rsidRPr="00EA3EE6">
        <w:t>.</w:t>
      </w:r>
    </w:p>
    <w:p w14:paraId="1EA60F6D" w14:textId="77777777" w:rsidR="000C0CE3" w:rsidRPr="00EA3EE6" w:rsidRDefault="000C0CE3" w:rsidP="000C0CE3">
      <w:pPr>
        <w:pStyle w:val="Textoindependiente"/>
      </w:pPr>
    </w:p>
    <w:p w14:paraId="3926C4FB" w14:textId="65FDD8A4" w:rsidR="00F93558" w:rsidRDefault="000C0CE3" w:rsidP="000C0CE3">
      <w:pPr>
        <w:pStyle w:val="Textoindependiente"/>
      </w:pPr>
      <w:r w:rsidRPr="00EA3EE6">
        <w:t>Mientras se produce la desaparición del efecto anticoagulante del AVK y esperamos la corrección del INR, no se precisa la administración de heparina de bajo peso molecular (HBPM) a dosis profilácticas de forma preoperatoria</w:t>
      </w:r>
      <w:r w:rsidR="00F93558">
        <w:t xml:space="preserve"> (</w:t>
      </w:r>
      <w:r w:rsidR="00F93558" w:rsidRPr="008B63D6">
        <w:rPr>
          <w:sz w:val="22"/>
          <w:szCs w:val="22"/>
        </w:rPr>
        <w:t>figura 2</w:t>
      </w:r>
      <w:r w:rsidR="00F93558">
        <w:t>).</w:t>
      </w:r>
    </w:p>
    <w:p w14:paraId="566CF873" w14:textId="2D842AB2" w:rsidR="00F93558" w:rsidRDefault="00F93558" w:rsidP="000C0CE3">
      <w:pPr>
        <w:pStyle w:val="Textoindependiente"/>
      </w:pPr>
    </w:p>
    <w:p w14:paraId="4266BD1D" w14:textId="779C96E0" w:rsidR="00F93558" w:rsidRDefault="00F93558" w:rsidP="000C0CE3">
      <w:pPr>
        <w:pStyle w:val="Textoindependiente"/>
      </w:pPr>
      <w:r w:rsidRPr="00E87D83">
        <w:rPr>
          <w:b/>
          <w:bCs/>
          <w:sz w:val="20"/>
          <w:szCs w:val="20"/>
        </w:rPr>
        <w:t xml:space="preserve">Figura </w:t>
      </w:r>
      <w:r>
        <w:rPr>
          <w:b/>
          <w:bCs/>
          <w:sz w:val="20"/>
          <w:szCs w:val="20"/>
        </w:rPr>
        <w:t>2</w:t>
      </w:r>
      <w:r w:rsidRPr="00E87D83">
        <w:rPr>
          <w:b/>
          <w:bCs/>
          <w:sz w:val="20"/>
          <w:szCs w:val="20"/>
        </w:rPr>
        <w:t xml:space="preserve">. </w:t>
      </w:r>
      <w:r>
        <w:rPr>
          <w:b/>
          <w:bCs/>
          <w:sz w:val="20"/>
          <w:szCs w:val="20"/>
        </w:rPr>
        <w:t>Manejo perioperatorio AVK en cirugía precoz (≤48h) de fractura de fémur.</w:t>
      </w:r>
    </w:p>
    <w:p w14:paraId="21C9EB56" w14:textId="5A55F50B" w:rsidR="00F93558" w:rsidRDefault="00F93558" w:rsidP="000C0CE3">
      <w:pPr>
        <w:pStyle w:val="Textoindependiente"/>
      </w:pPr>
    </w:p>
    <w:p w14:paraId="2EA686AE" w14:textId="46F82FE7" w:rsidR="00F93558" w:rsidRDefault="00F93558" w:rsidP="00F93558">
      <w:pPr>
        <w:pStyle w:val="Textoindependiente"/>
        <w:jc w:val="center"/>
      </w:pPr>
      <w:r>
        <w:rPr>
          <w:noProof/>
        </w:rPr>
        <w:drawing>
          <wp:inline distT="0" distB="0" distL="0" distR="0" wp14:anchorId="3200A8DD" wp14:editId="194A003F">
            <wp:extent cx="3752850" cy="2952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2850" cy="2952750"/>
                    </a:xfrm>
                    <a:prstGeom prst="rect">
                      <a:avLst/>
                    </a:prstGeom>
                    <a:noFill/>
                    <a:ln>
                      <a:noFill/>
                    </a:ln>
                  </pic:spPr>
                </pic:pic>
              </a:graphicData>
            </a:graphic>
          </wp:inline>
        </w:drawing>
      </w:r>
    </w:p>
    <w:p w14:paraId="30AA3F76" w14:textId="77777777" w:rsidR="00F93558" w:rsidRDefault="00F93558" w:rsidP="000C0CE3">
      <w:pPr>
        <w:pStyle w:val="Textoindependiente"/>
      </w:pPr>
    </w:p>
    <w:p w14:paraId="62FFE30C" w14:textId="77777777" w:rsidR="00F93558" w:rsidRDefault="00F93558" w:rsidP="000C0CE3">
      <w:pPr>
        <w:pStyle w:val="Textoindependiente"/>
      </w:pPr>
    </w:p>
    <w:p w14:paraId="46814D74" w14:textId="604B82A2" w:rsidR="00604B98" w:rsidRDefault="00F93558" w:rsidP="000C0CE3">
      <w:pPr>
        <w:pStyle w:val="Textoindependiente"/>
      </w:pPr>
      <w:r>
        <w:t xml:space="preserve">La </w:t>
      </w:r>
      <w:r w:rsidR="00224D73">
        <w:t xml:space="preserve">administración preoperatoria de </w:t>
      </w:r>
      <w:r>
        <w:t xml:space="preserve">HBPM </w:t>
      </w:r>
      <w:proofErr w:type="spellStart"/>
      <w:r>
        <w:t>sc</w:t>
      </w:r>
      <w:proofErr w:type="spellEnd"/>
      <w:r>
        <w:t xml:space="preserve"> </w:t>
      </w:r>
      <w:r w:rsidR="000C0CE3" w:rsidRPr="00EA3EE6">
        <w:t>sólo se administrará en caso de demora</w:t>
      </w:r>
      <w:r w:rsidR="00D3694F">
        <w:t xml:space="preserve"> </w:t>
      </w:r>
      <w:r w:rsidR="000C0CE3" w:rsidRPr="00EA3EE6">
        <w:t xml:space="preserve">de la cirugía </w:t>
      </w:r>
      <w:r w:rsidR="00D3694F">
        <w:t xml:space="preserve">más allá de las 48h </w:t>
      </w:r>
      <w:r w:rsidR="000C0CE3" w:rsidRPr="00EA3EE6">
        <w:t>e INR ≤1.5. La HBPM a dosis anticoagulante sólo se recomienda en pacientes con riesgo tromboembólico alto</w:t>
      </w:r>
      <w:r w:rsidR="000C0CE3" w:rsidRPr="00EA3EE6">
        <w:rPr>
          <w:vertAlign w:val="superscript"/>
        </w:rPr>
        <w:t>6,9</w:t>
      </w:r>
      <w:r>
        <w:t xml:space="preserve"> (</w:t>
      </w:r>
      <w:r w:rsidRPr="008B63D6">
        <w:rPr>
          <w:sz w:val="22"/>
          <w:szCs w:val="22"/>
        </w:rPr>
        <w:t>figura 3</w:t>
      </w:r>
      <w:r>
        <w:t>).</w:t>
      </w:r>
      <w:r w:rsidR="00921B07">
        <w:t xml:space="preserve"> </w:t>
      </w:r>
    </w:p>
    <w:p w14:paraId="34FE01FD" w14:textId="77777777" w:rsidR="00604B98" w:rsidRDefault="00604B98" w:rsidP="000C0CE3">
      <w:pPr>
        <w:pStyle w:val="Textoindependiente"/>
      </w:pPr>
    </w:p>
    <w:p w14:paraId="31FD9C28" w14:textId="69852C36" w:rsidR="000C0CE3" w:rsidRDefault="00921B07" w:rsidP="000C0CE3">
      <w:pPr>
        <w:pStyle w:val="Textoindependiente"/>
      </w:pPr>
      <w:r>
        <w:t>Es importante recordar que la demora quirúrgica más allá de las primeras 48 horas debe ser la excepción y sólo es aceptable por optimización de patología médica.</w:t>
      </w:r>
    </w:p>
    <w:p w14:paraId="410EB74B" w14:textId="6C9A8FD6" w:rsidR="00921B07" w:rsidRDefault="00921B07" w:rsidP="000C0CE3">
      <w:pPr>
        <w:pStyle w:val="Textoindependiente"/>
      </w:pPr>
    </w:p>
    <w:p w14:paraId="008CEB8C" w14:textId="3935156E" w:rsidR="00921B07" w:rsidRDefault="00921B07" w:rsidP="000C0CE3">
      <w:pPr>
        <w:pStyle w:val="Textoindependiente"/>
      </w:pPr>
    </w:p>
    <w:p w14:paraId="4483DFF3" w14:textId="12333B0E" w:rsidR="00921B07" w:rsidRDefault="00921B07" w:rsidP="000C0CE3">
      <w:pPr>
        <w:pStyle w:val="Textoindependiente"/>
      </w:pPr>
    </w:p>
    <w:p w14:paraId="526D5064" w14:textId="46B1F108" w:rsidR="00921B07" w:rsidRDefault="00921B07" w:rsidP="000C0CE3">
      <w:pPr>
        <w:pStyle w:val="Textoindependiente"/>
      </w:pPr>
    </w:p>
    <w:p w14:paraId="33789E8B" w14:textId="3566FDC8" w:rsidR="00921B07" w:rsidRDefault="00921B07" w:rsidP="000C0CE3">
      <w:pPr>
        <w:pStyle w:val="Textoindependiente"/>
      </w:pPr>
    </w:p>
    <w:p w14:paraId="4B22BFD7" w14:textId="0F268150" w:rsidR="00921B07" w:rsidRDefault="00921B07" w:rsidP="000C0CE3">
      <w:pPr>
        <w:pStyle w:val="Textoindependiente"/>
      </w:pPr>
    </w:p>
    <w:p w14:paraId="533B843F" w14:textId="4BDF7776" w:rsidR="00921B07" w:rsidRDefault="00921B07" w:rsidP="000C0CE3">
      <w:pPr>
        <w:pStyle w:val="Textoindependiente"/>
      </w:pPr>
    </w:p>
    <w:p w14:paraId="56F6D84F" w14:textId="77777777" w:rsidR="00224D73" w:rsidRDefault="00224D73" w:rsidP="000C0CE3">
      <w:pPr>
        <w:pStyle w:val="Textoindependiente"/>
      </w:pPr>
    </w:p>
    <w:p w14:paraId="08F045C9" w14:textId="04B1F628" w:rsidR="00921B07" w:rsidRDefault="00921B07" w:rsidP="000C0CE3">
      <w:pPr>
        <w:pStyle w:val="Textoindependiente"/>
      </w:pPr>
    </w:p>
    <w:p w14:paraId="3A3D109B" w14:textId="77777777" w:rsidR="00921B07" w:rsidRDefault="00921B07" w:rsidP="000C0CE3">
      <w:pPr>
        <w:pStyle w:val="Textoindependiente"/>
      </w:pPr>
    </w:p>
    <w:p w14:paraId="2316CC12" w14:textId="77777777" w:rsidR="00F93558" w:rsidRPr="00F93558" w:rsidRDefault="00F93558" w:rsidP="000C0CE3">
      <w:pPr>
        <w:pStyle w:val="Textoindependiente"/>
      </w:pPr>
    </w:p>
    <w:p w14:paraId="3517B319" w14:textId="52BE1939" w:rsidR="00F93558" w:rsidRDefault="00F93558" w:rsidP="00F93558">
      <w:pPr>
        <w:pStyle w:val="Textoindependiente"/>
        <w:rPr>
          <w:b/>
          <w:bCs/>
          <w:sz w:val="20"/>
          <w:szCs w:val="20"/>
        </w:rPr>
      </w:pPr>
      <w:r w:rsidRPr="00E87D83">
        <w:rPr>
          <w:b/>
          <w:bCs/>
          <w:sz w:val="20"/>
          <w:szCs w:val="20"/>
        </w:rPr>
        <w:t xml:space="preserve">Figura </w:t>
      </w:r>
      <w:r>
        <w:rPr>
          <w:b/>
          <w:bCs/>
          <w:sz w:val="20"/>
          <w:szCs w:val="20"/>
        </w:rPr>
        <w:t>3</w:t>
      </w:r>
      <w:r w:rsidRPr="00E87D83">
        <w:rPr>
          <w:b/>
          <w:bCs/>
          <w:sz w:val="20"/>
          <w:szCs w:val="20"/>
        </w:rPr>
        <w:t xml:space="preserve">. </w:t>
      </w:r>
      <w:r>
        <w:rPr>
          <w:b/>
          <w:bCs/>
          <w:sz w:val="20"/>
          <w:szCs w:val="20"/>
        </w:rPr>
        <w:t>Manejo perioperatorio AVK en cirugía de fractura de fémur que se demora &gt;48horas</w:t>
      </w:r>
      <w:r w:rsidR="00921B07">
        <w:rPr>
          <w:b/>
          <w:bCs/>
          <w:sz w:val="20"/>
          <w:szCs w:val="20"/>
        </w:rPr>
        <w:t xml:space="preserve"> por optimización médica</w:t>
      </w:r>
      <w:r>
        <w:rPr>
          <w:b/>
          <w:bCs/>
          <w:sz w:val="20"/>
          <w:szCs w:val="20"/>
        </w:rPr>
        <w:t>.</w:t>
      </w:r>
    </w:p>
    <w:p w14:paraId="61DA90FF" w14:textId="18F9790E" w:rsidR="00921B07" w:rsidRDefault="00921B07" w:rsidP="00F93558">
      <w:pPr>
        <w:pStyle w:val="Textoindependiente"/>
        <w:rPr>
          <w:b/>
          <w:bCs/>
          <w:sz w:val="20"/>
          <w:szCs w:val="20"/>
        </w:rPr>
      </w:pPr>
    </w:p>
    <w:p w14:paraId="35A5CF93" w14:textId="3212C34F" w:rsidR="00921B07" w:rsidRDefault="00921B07" w:rsidP="00921B07">
      <w:pPr>
        <w:pStyle w:val="Textoindependiente"/>
        <w:jc w:val="center"/>
        <w:rPr>
          <w:b/>
          <w:bCs/>
          <w:sz w:val="20"/>
          <w:szCs w:val="20"/>
        </w:rPr>
      </w:pPr>
      <w:r>
        <w:rPr>
          <w:b/>
          <w:bCs/>
          <w:noProof/>
          <w:sz w:val="20"/>
          <w:szCs w:val="20"/>
        </w:rPr>
        <w:drawing>
          <wp:inline distT="0" distB="0" distL="0" distR="0" wp14:anchorId="6519B31F" wp14:editId="762CDC77">
            <wp:extent cx="3651250" cy="3905250"/>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1250" cy="3905250"/>
                    </a:xfrm>
                    <a:prstGeom prst="rect">
                      <a:avLst/>
                    </a:prstGeom>
                    <a:noFill/>
                    <a:ln>
                      <a:noFill/>
                    </a:ln>
                  </pic:spPr>
                </pic:pic>
              </a:graphicData>
            </a:graphic>
          </wp:inline>
        </w:drawing>
      </w:r>
    </w:p>
    <w:p w14:paraId="3B0DE23A" w14:textId="1EAC994C" w:rsidR="00F93558" w:rsidRDefault="00F93558" w:rsidP="00F93558">
      <w:pPr>
        <w:pStyle w:val="Textoindependiente"/>
        <w:rPr>
          <w:b/>
          <w:bCs/>
          <w:sz w:val="20"/>
          <w:szCs w:val="20"/>
        </w:rPr>
      </w:pPr>
    </w:p>
    <w:p w14:paraId="5ABF6628" w14:textId="4132BFF9" w:rsidR="000C0CE3" w:rsidRPr="00EA3EE6" w:rsidRDefault="000C0CE3" w:rsidP="00EA3EE6">
      <w:pPr>
        <w:pStyle w:val="Prrafodelista"/>
        <w:ind w:left="1800"/>
        <w:rPr>
          <w:rFonts w:cs="Arial"/>
          <w:sz w:val="24"/>
          <w:szCs w:val="24"/>
        </w:rPr>
      </w:pPr>
    </w:p>
    <w:p w14:paraId="7E53C59E" w14:textId="097E2DA1" w:rsidR="00EA3EE6" w:rsidRPr="00EA3EE6" w:rsidRDefault="00EA3EE6" w:rsidP="00EA3EE6">
      <w:pPr>
        <w:pStyle w:val="Textoindependiente"/>
        <w:numPr>
          <w:ilvl w:val="2"/>
          <w:numId w:val="10"/>
        </w:numPr>
        <w:spacing w:after="120" w:line="276" w:lineRule="auto"/>
        <w:rPr>
          <w:b/>
          <w:bCs/>
        </w:rPr>
      </w:pPr>
      <w:r w:rsidRPr="00EA3EE6">
        <w:rPr>
          <w:b/>
          <w:bCs/>
        </w:rPr>
        <w:t>ANTICOAGULANTES ORALES DIRECTOS (ACOD)</w:t>
      </w:r>
    </w:p>
    <w:p w14:paraId="78AC1FAB" w14:textId="77777777" w:rsidR="00EA3EE6" w:rsidRPr="00EA3EE6" w:rsidRDefault="00EA3EE6" w:rsidP="00EA3EE6">
      <w:pPr>
        <w:rPr>
          <w:rFonts w:cs="Arial"/>
          <w:sz w:val="24"/>
          <w:szCs w:val="24"/>
        </w:rPr>
      </w:pPr>
      <w:proofErr w:type="spellStart"/>
      <w:r w:rsidRPr="00EA3EE6">
        <w:rPr>
          <w:rFonts w:cs="Arial"/>
          <w:sz w:val="24"/>
          <w:szCs w:val="24"/>
        </w:rPr>
        <w:t>Tradicionalmente</w:t>
      </w:r>
      <w:proofErr w:type="spellEnd"/>
      <w:r w:rsidRPr="00EA3EE6">
        <w:rPr>
          <w:rFonts w:cs="Arial"/>
          <w:sz w:val="24"/>
          <w:szCs w:val="24"/>
        </w:rPr>
        <w:t xml:space="preserve"> </w:t>
      </w:r>
      <w:proofErr w:type="spellStart"/>
      <w:r w:rsidRPr="00EA3EE6">
        <w:rPr>
          <w:rFonts w:cs="Arial"/>
          <w:sz w:val="24"/>
          <w:szCs w:val="24"/>
        </w:rPr>
        <w:t>conocidos</w:t>
      </w:r>
      <w:proofErr w:type="spellEnd"/>
      <w:r w:rsidRPr="00EA3EE6">
        <w:rPr>
          <w:rFonts w:cs="Arial"/>
          <w:sz w:val="24"/>
          <w:szCs w:val="24"/>
        </w:rPr>
        <w:t xml:space="preserve"> como Nuevos </w:t>
      </w:r>
      <w:proofErr w:type="spellStart"/>
      <w:r w:rsidRPr="00EA3EE6">
        <w:rPr>
          <w:rFonts w:cs="Arial"/>
          <w:sz w:val="24"/>
          <w:szCs w:val="24"/>
        </w:rPr>
        <w:t>Anticoagulantes</w:t>
      </w:r>
      <w:proofErr w:type="spellEnd"/>
      <w:r w:rsidRPr="00EA3EE6">
        <w:rPr>
          <w:rFonts w:cs="Arial"/>
          <w:sz w:val="24"/>
          <w:szCs w:val="24"/>
        </w:rPr>
        <w:t xml:space="preserve"> </w:t>
      </w:r>
      <w:proofErr w:type="spellStart"/>
      <w:r w:rsidRPr="00EA3EE6">
        <w:rPr>
          <w:rFonts w:cs="Arial"/>
          <w:sz w:val="24"/>
          <w:szCs w:val="24"/>
        </w:rPr>
        <w:t>Orales</w:t>
      </w:r>
      <w:proofErr w:type="spellEnd"/>
      <w:r w:rsidRPr="00EA3EE6">
        <w:rPr>
          <w:rFonts w:cs="Arial"/>
          <w:sz w:val="24"/>
          <w:szCs w:val="24"/>
        </w:rPr>
        <w:t xml:space="preserve"> (NACO), este </w:t>
      </w:r>
      <w:proofErr w:type="spellStart"/>
      <w:r w:rsidRPr="00EA3EE6">
        <w:rPr>
          <w:rFonts w:cs="Arial"/>
          <w:sz w:val="24"/>
          <w:szCs w:val="24"/>
        </w:rPr>
        <w:t>grupo</w:t>
      </w:r>
      <w:proofErr w:type="spellEnd"/>
      <w:r w:rsidRPr="00EA3EE6">
        <w:rPr>
          <w:rFonts w:cs="Arial"/>
          <w:sz w:val="24"/>
          <w:szCs w:val="24"/>
        </w:rPr>
        <w:t xml:space="preserve"> de </w:t>
      </w:r>
      <w:proofErr w:type="spellStart"/>
      <w:r w:rsidRPr="00EA3EE6">
        <w:rPr>
          <w:rFonts w:cs="Arial"/>
          <w:sz w:val="24"/>
          <w:szCs w:val="24"/>
        </w:rPr>
        <w:t>fármacos</w:t>
      </w:r>
      <w:proofErr w:type="spellEnd"/>
      <w:r w:rsidRPr="00EA3EE6">
        <w:rPr>
          <w:rFonts w:cs="Arial"/>
          <w:sz w:val="24"/>
          <w:szCs w:val="24"/>
        </w:rPr>
        <w:t xml:space="preserve"> (</w:t>
      </w:r>
      <w:proofErr w:type="spellStart"/>
      <w:r w:rsidRPr="00EA3EE6">
        <w:rPr>
          <w:rFonts w:cs="Arial"/>
          <w:sz w:val="24"/>
          <w:szCs w:val="24"/>
        </w:rPr>
        <w:t>dabigatrán</w:t>
      </w:r>
      <w:proofErr w:type="spellEnd"/>
      <w:r w:rsidRPr="00EA3EE6">
        <w:rPr>
          <w:rFonts w:cs="Arial"/>
          <w:sz w:val="24"/>
          <w:szCs w:val="24"/>
        </w:rPr>
        <w:t xml:space="preserve">, </w:t>
      </w:r>
      <w:proofErr w:type="spellStart"/>
      <w:r w:rsidRPr="00EA3EE6">
        <w:rPr>
          <w:rFonts w:cs="Arial"/>
          <w:sz w:val="24"/>
          <w:szCs w:val="24"/>
        </w:rPr>
        <w:t>rivaroxabán</w:t>
      </w:r>
      <w:proofErr w:type="spellEnd"/>
      <w:r w:rsidRPr="00EA3EE6">
        <w:rPr>
          <w:rFonts w:cs="Arial"/>
          <w:sz w:val="24"/>
          <w:szCs w:val="24"/>
        </w:rPr>
        <w:t xml:space="preserve">, </w:t>
      </w:r>
      <w:proofErr w:type="spellStart"/>
      <w:r w:rsidRPr="00EA3EE6">
        <w:rPr>
          <w:rFonts w:cs="Arial"/>
          <w:sz w:val="24"/>
          <w:szCs w:val="24"/>
        </w:rPr>
        <w:t>apixabán</w:t>
      </w:r>
      <w:proofErr w:type="spellEnd"/>
      <w:r w:rsidRPr="00EA3EE6">
        <w:rPr>
          <w:rFonts w:cs="Arial"/>
          <w:sz w:val="24"/>
          <w:szCs w:val="24"/>
        </w:rPr>
        <w:t xml:space="preserve">, </w:t>
      </w:r>
      <w:proofErr w:type="spellStart"/>
      <w:r w:rsidRPr="00EA3EE6">
        <w:rPr>
          <w:rFonts w:cs="Arial"/>
          <w:sz w:val="24"/>
          <w:szCs w:val="24"/>
        </w:rPr>
        <w:t>edoxabán</w:t>
      </w:r>
      <w:proofErr w:type="spellEnd"/>
      <w:r w:rsidRPr="00EA3EE6">
        <w:rPr>
          <w:rFonts w:cs="Arial"/>
          <w:sz w:val="24"/>
          <w:szCs w:val="24"/>
        </w:rPr>
        <w:t xml:space="preserve">), </w:t>
      </w:r>
      <w:proofErr w:type="spellStart"/>
      <w:r w:rsidRPr="00EA3EE6">
        <w:rPr>
          <w:rFonts w:cs="Arial"/>
          <w:sz w:val="24"/>
          <w:szCs w:val="24"/>
        </w:rPr>
        <w:t>deberían</w:t>
      </w:r>
      <w:proofErr w:type="spellEnd"/>
      <w:r w:rsidRPr="00EA3EE6">
        <w:rPr>
          <w:rFonts w:cs="Arial"/>
          <w:sz w:val="24"/>
          <w:szCs w:val="24"/>
        </w:rPr>
        <w:t xml:space="preserve"> </w:t>
      </w:r>
      <w:proofErr w:type="spellStart"/>
      <w:r w:rsidRPr="00EA3EE6">
        <w:rPr>
          <w:rFonts w:cs="Arial"/>
          <w:sz w:val="24"/>
          <w:szCs w:val="24"/>
        </w:rPr>
        <w:t>denominarse</w:t>
      </w:r>
      <w:proofErr w:type="spellEnd"/>
      <w:r w:rsidRPr="00EA3EE6">
        <w:rPr>
          <w:rFonts w:cs="Arial"/>
          <w:sz w:val="24"/>
          <w:szCs w:val="24"/>
        </w:rPr>
        <w:t xml:space="preserve"> ACOD, </w:t>
      </w:r>
      <w:proofErr w:type="spellStart"/>
      <w:r w:rsidRPr="00EA3EE6">
        <w:rPr>
          <w:rFonts w:cs="Arial"/>
          <w:sz w:val="24"/>
          <w:szCs w:val="24"/>
        </w:rPr>
        <w:t>ya</w:t>
      </w:r>
      <w:proofErr w:type="spellEnd"/>
      <w:r w:rsidRPr="00EA3EE6">
        <w:rPr>
          <w:rFonts w:cs="Arial"/>
          <w:sz w:val="24"/>
          <w:szCs w:val="24"/>
        </w:rPr>
        <w:t xml:space="preserve"> que </w:t>
      </w:r>
      <w:proofErr w:type="spellStart"/>
      <w:r w:rsidRPr="00EA3EE6">
        <w:rPr>
          <w:rFonts w:cs="Arial"/>
          <w:sz w:val="24"/>
          <w:szCs w:val="24"/>
        </w:rPr>
        <w:t>hace</w:t>
      </w:r>
      <w:proofErr w:type="spellEnd"/>
      <w:r w:rsidRPr="00EA3EE6">
        <w:rPr>
          <w:rFonts w:cs="Arial"/>
          <w:sz w:val="24"/>
          <w:szCs w:val="24"/>
        </w:rPr>
        <w:t xml:space="preserve"> </w:t>
      </w:r>
      <w:proofErr w:type="spellStart"/>
      <w:r w:rsidRPr="00EA3EE6">
        <w:rPr>
          <w:rFonts w:cs="Arial"/>
          <w:sz w:val="24"/>
          <w:szCs w:val="24"/>
        </w:rPr>
        <w:t>tiempo</w:t>
      </w:r>
      <w:proofErr w:type="spellEnd"/>
      <w:r w:rsidRPr="00EA3EE6">
        <w:rPr>
          <w:rFonts w:cs="Arial"/>
          <w:sz w:val="24"/>
          <w:szCs w:val="24"/>
        </w:rPr>
        <w:t xml:space="preserve"> que </w:t>
      </w:r>
      <w:proofErr w:type="spellStart"/>
      <w:r w:rsidRPr="00EA3EE6">
        <w:rPr>
          <w:rFonts w:cs="Arial"/>
          <w:sz w:val="24"/>
          <w:szCs w:val="24"/>
        </w:rPr>
        <w:t>irrumpieron</w:t>
      </w:r>
      <w:proofErr w:type="spellEnd"/>
      <w:r w:rsidRPr="00EA3EE6">
        <w:rPr>
          <w:rFonts w:cs="Arial"/>
          <w:sz w:val="24"/>
          <w:szCs w:val="24"/>
        </w:rPr>
        <w:t xml:space="preserve"> en el </w:t>
      </w:r>
      <w:proofErr w:type="spellStart"/>
      <w:r w:rsidRPr="00EA3EE6">
        <w:rPr>
          <w:rFonts w:cs="Arial"/>
          <w:sz w:val="24"/>
          <w:szCs w:val="24"/>
        </w:rPr>
        <w:t>escenario</w:t>
      </w:r>
      <w:proofErr w:type="spellEnd"/>
      <w:r w:rsidRPr="00EA3EE6">
        <w:rPr>
          <w:rFonts w:cs="Arial"/>
          <w:sz w:val="24"/>
          <w:szCs w:val="24"/>
        </w:rPr>
        <w:t xml:space="preserve"> </w:t>
      </w:r>
      <w:proofErr w:type="spellStart"/>
      <w:r w:rsidRPr="00EA3EE6">
        <w:rPr>
          <w:rFonts w:cs="Arial"/>
          <w:sz w:val="24"/>
          <w:szCs w:val="24"/>
        </w:rPr>
        <w:t>clínico</w:t>
      </w:r>
      <w:proofErr w:type="spellEnd"/>
      <w:r w:rsidRPr="00EA3EE6">
        <w:rPr>
          <w:rFonts w:cs="Arial"/>
          <w:sz w:val="24"/>
          <w:szCs w:val="24"/>
        </w:rPr>
        <w:t xml:space="preserve"> y </w:t>
      </w:r>
      <w:proofErr w:type="spellStart"/>
      <w:r w:rsidRPr="00EA3EE6">
        <w:rPr>
          <w:rFonts w:cs="Arial"/>
          <w:sz w:val="24"/>
          <w:szCs w:val="24"/>
        </w:rPr>
        <w:t>dejaron</w:t>
      </w:r>
      <w:proofErr w:type="spellEnd"/>
      <w:r w:rsidRPr="00EA3EE6">
        <w:rPr>
          <w:rFonts w:cs="Arial"/>
          <w:sz w:val="24"/>
          <w:szCs w:val="24"/>
        </w:rPr>
        <w:t xml:space="preserve"> de ser </w:t>
      </w:r>
      <w:proofErr w:type="spellStart"/>
      <w:r w:rsidRPr="00EA3EE6">
        <w:rPr>
          <w:rFonts w:cs="Arial"/>
          <w:sz w:val="24"/>
          <w:szCs w:val="24"/>
        </w:rPr>
        <w:t>novedosos</w:t>
      </w:r>
      <w:proofErr w:type="spellEnd"/>
      <w:r w:rsidRPr="00EA3EE6">
        <w:rPr>
          <w:rFonts w:cs="Arial"/>
          <w:sz w:val="24"/>
          <w:szCs w:val="24"/>
        </w:rPr>
        <w:t xml:space="preserve">. </w:t>
      </w:r>
      <w:proofErr w:type="spellStart"/>
      <w:r w:rsidRPr="00EA3EE6">
        <w:rPr>
          <w:rFonts w:cs="Arial"/>
          <w:sz w:val="24"/>
          <w:szCs w:val="24"/>
        </w:rPr>
        <w:t>Su</w:t>
      </w:r>
      <w:proofErr w:type="spellEnd"/>
      <w:r w:rsidRPr="00EA3EE6">
        <w:rPr>
          <w:rFonts w:cs="Arial"/>
          <w:sz w:val="24"/>
          <w:szCs w:val="24"/>
        </w:rPr>
        <w:t xml:space="preserve"> uso ha </w:t>
      </w:r>
      <w:proofErr w:type="spellStart"/>
      <w:r w:rsidRPr="00EA3EE6">
        <w:rPr>
          <w:rFonts w:cs="Arial"/>
          <w:sz w:val="24"/>
          <w:szCs w:val="24"/>
        </w:rPr>
        <w:t>ido</w:t>
      </w:r>
      <w:proofErr w:type="spellEnd"/>
      <w:r w:rsidRPr="00EA3EE6">
        <w:rPr>
          <w:rFonts w:cs="Arial"/>
          <w:sz w:val="24"/>
          <w:szCs w:val="24"/>
        </w:rPr>
        <w:t xml:space="preserve"> en </w:t>
      </w:r>
      <w:proofErr w:type="spellStart"/>
      <w:r w:rsidRPr="00EA3EE6">
        <w:rPr>
          <w:rFonts w:cs="Arial"/>
          <w:sz w:val="24"/>
          <w:szCs w:val="24"/>
        </w:rPr>
        <w:t>aumento</w:t>
      </w:r>
      <w:proofErr w:type="spellEnd"/>
      <w:r w:rsidRPr="00EA3EE6">
        <w:rPr>
          <w:rFonts w:cs="Arial"/>
          <w:sz w:val="24"/>
          <w:szCs w:val="24"/>
        </w:rPr>
        <w:t xml:space="preserve"> </w:t>
      </w:r>
      <w:proofErr w:type="spellStart"/>
      <w:r w:rsidRPr="00EA3EE6">
        <w:rPr>
          <w:rFonts w:cs="Arial"/>
          <w:sz w:val="24"/>
          <w:szCs w:val="24"/>
        </w:rPr>
        <w:t>tras</w:t>
      </w:r>
      <w:proofErr w:type="spellEnd"/>
      <w:r w:rsidRPr="00EA3EE6">
        <w:rPr>
          <w:rFonts w:cs="Arial"/>
          <w:sz w:val="24"/>
          <w:szCs w:val="24"/>
        </w:rPr>
        <w:t xml:space="preserve"> </w:t>
      </w:r>
      <w:proofErr w:type="spellStart"/>
      <w:r w:rsidRPr="00EA3EE6">
        <w:rPr>
          <w:rFonts w:cs="Arial"/>
          <w:sz w:val="24"/>
          <w:szCs w:val="24"/>
        </w:rPr>
        <w:t>haber</w:t>
      </w:r>
      <w:proofErr w:type="spellEnd"/>
      <w:r w:rsidRPr="00EA3EE6">
        <w:rPr>
          <w:rFonts w:cs="Arial"/>
          <w:sz w:val="24"/>
          <w:szCs w:val="24"/>
        </w:rPr>
        <w:t xml:space="preserve"> </w:t>
      </w:r>
      <w:proofErr w:type="spellStart"/>
      <w:r w:rsidRPr="00EA3EE6">
        <w:rPr>
          <w:rFonts w:cs="Arial"/>
          <w:sz w:val="24"/>
          <w:szCs w:val="24"/>
        </w:rPr>
        <w:t>demostrado</w:t>
      </w:r>
      <w:proofErr w:type="spellEnd"/>
      <w:r w:rsidRPr="00EA3EE6">
        <w:rPr>
          <w:rFonts w:cs="Arial"/>
          <w:sz w:val="24"/>
          <w:szCs w:val="24"/>
        </w:rPr>
        <w:t xml:space="preserve"> ser al </w:t>
      </w:r>
      <w:proofErr w:type="spellStart"/>
      <w:r w:rsidRPr="00EA3EE6">
        <w:rPr>
          <w:rFonts w:cs="Arial"/>
          <w:sz w:val="24"/>
          <w:szCs w:val="24"/>
        </w:rPr>
        <w:t>menos</w:t>
      </w:r>
      <w:proofErr w:type="spellEnd"/>
      <w:r w:rsidRPr="00EA3EE6">
        <w:rPr>
          <w:rFonts w:cs="Arial"/>
          <w:sz w:val="24"/>
          <w:szCs w:val="24"/>
        </w:rPr>
        <w:t xml:space="preserve"> tan </w:t>
      </w:r>
      <w:proofErr w:type="spellStart"/>
      <w:r w:rsidRPr="00EA3EE6">
        <w:rPr>
          <w:rFonts w:cs="Arial"/>
          <w:sz w:val="24"/>
          <w:szCs w:val="24"/>
        </w:rPr>
        <w:t>efectivos</w:t>
      </w:r>
      <w:proofErr w:type="spellEnd"/>
      <w:r w:rsidRPr="00EA3EE6">
        <w:rPr>
          <w:rFonts w:cs="Arial"/>
          <w:sz w:val="24"/>
          <w:szCs w:val="24"/>
        </w:rPr>
        <w:t xml:space="preserve"> como los </w:t>
      </w:r>
      <w:proofErr w:type="spellStart"/>
      <w:r w:rsidRPr="00EA3EE6">
        <w:rPr>
          <w:rFonts w:cs="Arial"/>
          <w:sz w:val="24"/>
          <w:szCs w:val="24"/>
        </w:rPr>
        <w:t>fármacos</w:t>
      </w:r>
      <w:proofErr w:type="spellEnd"/>
      <w:r w:rsidRPr="00EA3EE6">
        <w:rPr>
          <w:rFonts w:cs="Arial"/>
          <w:sz w:val="24"/>
          <w:szCs w:val="24"/>
        </w:rPr>
        <w:t xml:space="preserve"> AVK, no precisar </w:t>
      </w:r>
      <w:proofErr w:type="spellStart"/>
      <w:r w:rsidRPr="00EA3EE6">
        <w:rPr>
          <w:rFonts w:cs="Arial"/>
          <w:sz w:val="24"/>
          <w:szCs w:val="24"/>
        </w:rPr>
        <w:t>monitorización</w:t>
      </w:r>
      <w:proofErr w:type="spellEnd"/>
      <w:r w:rsidRPr="00EA3EE6">
        <w:rPr>
          <w:rFonts w:cs="Arial"/>
          <w:sz w:val="24"/>
          <w:szCs w:val="24"/>
        </w:rPr>
        <w:t xml:space="preserve"> </w:t>
      </w:r>
      <w:proofErr w:type="spellStart"/>
      <w:r w:rsidRPr="00EA3EE6">
        <w:rPr>
          <w:rFonts w:cs="Arial"/>
          <w:sz w:val="24"/>
          <w:szCs w:val="24"/>
        </w:rPr>
        <w:t>rutinaria</w:t>
      </w:r>
      <w:proofErr w:type="spellEnd"/>
      <w:r w:rsidRPr="00EA3EE6">
        <w:rPr>
          <w:rFonts w:cs="Arial"/>
          <w:sz w:val="24"/>
          <w:szCs w:val="24"/>
        </w:rPr>
        <w:t xml:space="preserve"> y </w:t>
      </w:r>
      <w:proofErr w:type="spellStart"/>
      <w:r w:rsidRPr="00EA3EE6">
        <w:rPr>
          <w:rFonts w:cs="Arial"/>
          <w:sz w:val="24"/>
          <w:szCs w:val="24"/>
        </w:rPr>
        <w:t>asociarse</w:t>
      </w:r>
      <w:proofErr w:type="spellEnd"/>
      <w:r w:rsidRPr="00EA3EE6">
        <w:rPr>
          <w:rFonts w:cs="Arial"/>
          <w:sz w:val="24"/>
          <w:szCs w:val="24"/>
        </w:rPr>
        <w:t xml:space="preserve"> a menor </w:t>
      </w:r>
      <w:proofErr w:type="spellStart"/>
      <w:r w:rsidRPr="00EA3EE6">
        <w:rPr>
          <w:rFonts w:cs="Arial"/>
          <w:sz w:val="24"/>
          <w:szCs w:val="24"/>
        </w:rPr>
        <w:t>hemorragia</w:t>
      </w:r>
      <w:proofErr w:type="spellEnd"/>
      <w:r w:rsidRPr="00EA3EE6">
        <w:rPr>
          <w:rFonts w:cs="Arial"/>
          <w:sz w:val="24"/>
          <w:szCs w:val="24"/>
        </w:rPr>
        <w:t xml:space="preserve"> intracraneal</w:t>
      </w:r>
      <w:r w:rsidRPr="00EA3EE6">
        <w:rPr>
          <w:rFonts w:cs="Arial"/>
          <w:sz w:val="24"/>
          <w:szCs w:val="24"/>
          <w:vertAlign w:val="superscript"/>
        </w:rPr>
        <w:t>26</w:t>
      </w:r>
      <w:r w:rsidRPr="00EA3EE6">
        <w:rPr>
          <w:rFonts w:cs="Arial"/>
          <w:sz w:val="24"/>
          <w:szCs w:val="24"/>
        </w:rPr>
        <w:t xml:space="preserve">. </w:t>
      </w:r>
    </w:p>
    <w:p w14:paraId="6CC2E709" w14:textId="1E6DE30D" w:rsidR="00EA3EE6" w:rsidRPr="00EA3EE6" w:rsidRDefault="00EA3EE6" w:rsidP="00EA3EE6">
      <w:pPr>
        <w:rPr>
          <w:rFonts w:cs="Arial"/>
          <w:sz w:val="24"/>
          <w:szCs w:val="24"/>
        </w:rPr>
      </w:pPr>
      <w:r w:rsidRPr="00EA3EE6">
        <w:rPr>
          <w:rFonts w:cs="Arial"/>
          <w:sz w:val="24"/>
          <w:szCs w:val="24"/>
        </w:rPr>
        <w:t xml:space="preserve">El manejo </w:t>
      </w:r>
      <w:proofErr w:type="spellStart"/>
      <w:r w:rsidRPr="00EA3EE6">
        <w:rPr>
          <w:rFonts w:cs="Arial"/>
          <w:sz w:val="24"/>
          <w:szCs w:val="24"/>
        </w:rPr>
        <w:t>perioperatorio</w:t>
      </w:r>
      <w:proofErr w:type="spellEnd"/>
      <w:r w:rsidRPr="00EA3EE6">
        <w:rPr>
          <w:rFonts w:cs="Arial"/>
          <w:sz w:val="24"/>
          <w:szCs w:val="24"/>
        </w:rPr>
        <w:t xml:space="preserve"> de estos </w:t>
      </w:r>
      <w:proofErr w:type="spellStart"/>
      <w:r w:rsidRPr="00EA3EE6">
        <w:rPr>
          <w:rFonts w:cs="Arial"/>
          <w:sz w:val="24"/>
          <w:szCs w:val="24"/>
        </w:rPr>
        <w:t>fármacos</w:t>
      </w:r>
      <w:proofErr w:type="spellEnd"/>
      <w:r w:rsidRPr="00EA3EE6">
        <w:rPr>
          <w:rFonts w:cs="Arial"/>
          <w:sz w:val="24"/>
          <w:szCs w:val="24"/>
        </w:rPr>
        <w:t xml:space="preserve"> en </w:t>
      </w:r>
      <w:proofErr w:type="spellStart"/>
      <w:r w:rsidRPr="00EA3EE6">
        <w:rPr>
          <w:rFonts w:cs="Arial"/>
          <w:sz w:val="24"/>
          <w:szCs w:val="24"/>
        </w:rPr>
        <w:t>cirugía</w:t>
      </w:r>
      <w:proofErr w:type="spellEnd"/>
      <w:r w:rsidRPr="00EA3EE6">
        <w:rPr>
          <w:rFonts w:cs="Arial"/>
          <w:sz w:val="24"/>
          <w:szCs w:val="24"/>
        </w:rPr>
        <w:t xml:space="preserve"> electiva queda </w:t>
      </w:r>
      <w:proofErr w:type="spellStart"/>
      <w:r w:rsidRPr="00EA3EE6">
        <w:rPr>
          <w:rFonts w:cs="Arial"/>
          <w:sz w:val="24"/>
          <w:szCs w:val="24"/>
        </w:rPr>
        <w:t>recogido</w:t>
      </w:r>
      <w:proofErr w:type="spellEnd"/>
      <w:r w:rsidRPr="00EA3EE6">
        <w:rPr>
          <w:rFonts w:cs="Arial"/>
          <w:sz w:val="24"/>
          <w:szCs w:val="24"/>
        </w:rPr>
        <w:t xml:space="preserve"> en </w:t>
      </w:r>
      <w:proofErr w:type="spellStart"/>
      <w:r w:rsidRPr="00EA3EE6">
        <w:rPr>
          <w:rFonts w:cs="Arial"/>
          <w:sz w:val="24"/>
          <w:szCs w:val="24"/>
        </w:rPr>
        <w:t>distintos</w:t>
      </w:r>
      <w:proofErr w:type="spellEnd"/>
      <w:r w:rsidRPr="00EA3EE6">
        <w:rPr>
          <w:rFonts w:cs="Arial"/>
          <w:sz w:val="24"/>
          <w:szCs w:val="24"/>
        </w:rPr>
        <w:t xml:space="preserve"> </w:t>
      </w:r>
      <w:proofErr w:type="spellStart"/>
      <w:r w:rsidRPr="00EA3EE6">
        <w:rPr>
          <w:rFonts w:cs="Arial"/>
          <w:sz w:val="24"/>
          <w:szCs w:val="24"/>
        </w:rPr>
        <w:t>protocolos</w:t>
      </w:r>
      <w:proofErr w:type="spellEnd"/>
      <w:r w:rsidRPr="00EA3EE6">
        <w:rPr>
          <w:rFonts w:cs="Arial"/>
          <w:sz w:val="24"/>
          <w:szCs w:val="24"/>
        </w:rPr>
        <w:t xml:space="preserve"> </w:t>
      </w:r>
      <w:proofErr w:type="spellStart"/>
      <w:r w:rsidRPr="00EA3EE6">
        <w:rPr>
          <w:rFonts w:cs="Arial"/>
          <w:sz w:val="24"/>
          <w:szCs w:val="24"/>
        </w:rPr>
        <w:t>publicados</w:t>
      </w:r>
      <w:proofErr w:type="spellEnd"/>
      <w:r w:rsidRPr="00EA3EE6">
        <w:rPr>
          <w:rFonts w:cs="Arial"/>
          <w:sz w:val="24"/>
          <w:szCs w:val="24"/>
        </w:rPr>
        <w:t xml:space="preserve"> (</w:t>
      </w:r>
      <w:proofErr w:type="spellStart"/>
      <w:r w:rsidRPr="00EA3EE6">
        <w:rPr>
          <w:rFonts w:cs="Arial"/>
          <w:sz w:val="24"/>
          <w:szCs w:val="24"/>
        </w:rPr>
        <w:t>European</w:t>
      </w:r>
      <w:proofErr w:type="spellEnd"/>
      <w:r w:rsidRPr="00EA3EE6">
        <w:rPr>
          <w:rFonts w:cs="Arial"/>
          <w:sz w:val="24"/>
          <w:szCs w:val="24"/>
        </w:rPr>
        <w:t xml:space="preserve"> </w:t>
      </w:r>
      <w:proofErr w:type="spellStart"/>
      <w:r w:rsidRPr="00EA3EE6">
        <w:rPr>
          <w:rFonts w:cs="Arial"/>
          <w:sz w:val="24"/>
          <w:szCs w:val="24"/>
        </w:rPr>
        <w:t>Society</w:t>
      </w:r>
      <w:proofErr w:type="spellEnd"/>
      <w:r w:rsidRPr="00EA3EE6">
        <w:rPr>
          <w:rFonts w:cs="Arial"/>
          <w:sz w:val="24"/>
          <w:szCs w:val="24"/>
        </w:rPr>
        <w:t xml:space="preserve"> of </w:t>
      </w:r>
      <w:proofErr w:type="spellStart"/>
      <w:r w:rsidRPr="00EA3EE6">
        <w:rPr>
          <w:rFonts w:cs="Arial"/>
          <w:sz w:val="24"/>
          <w:szCs w:val="24"/>
        </w:rPr>
        <w:t>Anaesthesiology</w:t>
      </w:r>
      <w:proofErr w:type="spellEnd"/>
      <w:r w:rsidRPr="00EA3EE6">
        <w:rPr>
          <w:rFonts w:cs="Arial"/>
          <w:sz w:val="24"/>
          <w:szCs w:val="24"/>
        </w:rPr>
        <w:t xml:space="preserve"> (ESA), </w:t>
      </w:r>
      <w:proofErr w:type="spellStart"/>
      <w:r w:rsidRPr="00EA3EE6">
        <w:rPr>
          <w:rFonts w:cs="Arial"/>
          <w:sz w:val="24"/>
          <w:szCs w:val="24"/>
        </w:rPr>
        <w:t>the</w:t>
      </w:r>
      <w:proofErr w:type="spellEnd"/>
      <w:r w:rsidRPr="00EA3EE6">
        <w:rPr>
          <w:rFonts w:cs="Arial"/>
          <w:sz w:val="24"/>
          <w:szCs w:val="24"/>
        </w:rPr>
        <w:t xml:space="preserve"> </w:t>
      </w:r>
      <w:proofErr w:type="spellStart"/>
      <w:r w:rsidRPr="00EA3EE6">
        <w:rPr>
          <w:rFonts w:cs="Arial"/>
          <w:sz w:val="24"/>
          <w:szCs w:val="24"/>
        </w:rPr>
        <w:t>French</w:t>
      </w:r>
      <w:proofErr w:type="spellEnd"/>
      <w:r w:rsidRPr="00EA3EE6">
        <w:rPr>
          <w:rFonts w:cs="Arial"/>
          <w:sz w:val="24"/>
          <w:szCs w:val="24"/>
        </w:rPr>
        <w:t xml:space="preserve"> </w:t>
      </w:r>
      <w:proofErr w:type="spellStart"/>
      <w:r w:rsidRPr="00EA3EE6">
        <w:rPr>
          <w:rFonts w:cs="Arial"/>
          <w:sz w:val="24"/>
          <w:szCs w:val="24"/>
        </w:rPr>
        <w:t>Working</w:t>
      </w:r>
      <w:proofErr w:type="spellEnd"/>
      <w:r w:rsidRPr="00EA3EE6">
        <w:rPr>
          <w:rFonts w:cs="Arial"/>
          <w:sz w:val="24"/>
          <w:szCs w:val="24"/>
        </w:rPr>
        <w:t xml:space="preserve"> Group on </w:t>
      </w:r>
      <w:proofErr w:type="spellStart"/>
      <w:r w:rsidRPr="00EA3EE6">
        <w:rPr>
          <w:rFonts w:cs="Arial"/>
          <w:sz w:val="24"/>
          <w:szCs w:val="24"/>
        </w:rPr>
        <w:t>Perioperative</w:t>
      </w:r>
      <w:proofErr w:type="spellEnd"/>
      <w:r w:rsidRPr="00EA3EE6">
        <w:rPr>
          <w:rFonts w:cs="Arial"/>
          <w:sz w:val="24"/>
          <w:szCs w:val="24"/>
        </w:rPr>
        <w:t xml:space="preserve"> </w:t>
      </w:r>
      <w:proofErr w:type="spellStart"/>
      <w:r w:rsidRPr="00EA3EE6">
        <w:rPr>
          <w:rFonts w:cs="Arial"/>
          <w:sz w:val="24"/>
          <w:szCs w:val="24"/>
        </w:rPr>
        <w:t>Haemostasis</w:t>
      </w:r>
      <w:proofErr w:type="spellEnd"/>
      <w:r w:rsidRPr="00EA3EE6">
        <w:rPr>
          <w:rFonts w:cs="Arial"/>
          <w:sz w:val="24"/>
          <w:szCs w:val="24"/>
        </w:rPr>
        <w:t xml:space="preserve"> (GIHP), </w:t>
      </w:r>
      <w:proofErr w:type="spellStart"/>
      <w:r w:rsidRPr="00EA3EE6">
        <w:rPr>
          <w:rFonts w:cs="Arial"/>
          <w:sz w:val="24"/>
          <w:szCs w:val="24"/>
        </w:rPr>
        <w:t>European</w:t>
      </w:r>
      <w:proofErr w:type="spellEnd"/>
      <w:r w:rsidRPr="00EA3EE6">
        <w:rPr>
          <w:rFonts w:cs="Arial"/>
          <w:sz w:val="24"/>
          <w:szCs w:val="24"/>
        </w:rPr>
        <w:t xml:space="preserve"> </w:t>
      </w:r>
      <w:proofErr w:type="spellStart"/>
      <w:r w:rsidRPr="00EA3EE6">
        <w:rPr>
          <w:rFonts w:cs="Arial"/>
          <w:sz w:val="24"/>
          <w:szCs w:val="24"/>
        </w:rPr>
        <w:t>Society</w:t>
      </w:r>
      <w:proofErr w:type="spellEnd"/>
      <w:r w:rsidRPr="00EA3EE6">
        <w:rPr>
          <w:rFonts w:cs="Arial"/>
          <w:sz w:val="24"/>
          <w:szCs w:val="24"/>
        </w:rPr>
        <w:t xml:space="preserve"> of </w:t>
      </w:r>
      <w:proofErr w:type="spellStart"/>
      <w:r w:rsidRPr="00EA3EE6">
        <w:rPr>
          <w:rFonts w:cs="Arial"/>
          <w:sz w:val="24"/>
          <w:szCs w:val="24"/>
        </w:rPr>
        <w:t>Cardiology</w:t>
      </w:r>
      <w:proofErr w:type="spellEnd"/>
      <w:r w:rsidRPr="00EA3EE6">
        <w:rPr>
          <w:rFonts w:cs="Arial"/>
          <w:sz w:val="24"/>
          <w:szCs w:val="24"/>
        </w:rPr>
        <w:t xml:space="preserve"> (ESC), </w:t>
      </w:r>
      <w:proofErr w:type="spellStart"/>
      <w:r w:rsidRPr="00EA3EE6">
        <w:rPr>
          <w:rFonts w:cs="Arial"/>
          <w:sz w:val="24"/>
          <w:szCs w:val="24"/>
        </w:rPr>
        <w:t>Chest</w:t>
      </w:r>
      <w:proofErr w:type="spellEnd"/>
      <w:r w:rsidRPr="00EA3EE6">
        <w:rPr>
          <w:rFonts w:cs="Arial"/>
          <w:sz w:val="24"/>
          <w:szCs w:val="24"/>
        </w:rPr>
        <w:t xml:space="preserve">, ESAIC-ESRA, EHRA, ASRA…). </w:t>
      </w:r>
    </w:p>
    <w:p w14:paraId="0C2629CD" w14:textId="77777777" w:rsidR="00EA3EE6" w:rsidRPr="00EA3EE6" w:rsidRDefault="00EA3EE6" w:rsidP="00EA3EE6">
      <w:pPr>
        <w:rPr>
          <w:rFonts w:cs="Arial"/>
          <w:sz w:val="24"/>
          <w:szCs w:val="24"/>
        </w:rPr>
      </w:pPr>
      <w:proofErr w:type="spellStart"/>
      <w:r w:rsidRPr="00EA3EE6">
        <w:rPr>
          <w:rFonts w:cs="Arial"/>
          <w:sz w:val="24"/>
          <w:szCs w:val="24"/>
        </w:rPr>
        <w:t>Sin</w:t>
      </w:r>
      <w:proofErr w:type="spellEnd"/>
      <w:r w:rsidRPr="00EA3EE6">
        <w:rPr>
          <w:rFonts w:cs="Arial"/>
          <w:sz w:val="24"/>
          <w:szCs w:val="24"/>
        </w:rPr>
        <w:t xml:space="preserve"> embargo, el manejo </w:t>
      </w:r>
      <w:proofErr w:type="spellStart"/>
      <w:r w:rsidRPr="00EA3EE6">
        <w:rPr>
          <w:rFonts w:cs="Arial"/>
          <w:sz w:val="24"/>
          <w:szCs w:val="24"/>
        </w:rPr>
        <w:t>preoperatorio</w:t>
      </w:r>
      <w:proofErr w:type="spellEnd"/>
      <w:r w:rsidRPr="00EA3EE6">
        <w:rPr>
          <w:rFonts w:cs="Arial"/>
          <w:sz w:val="24"/>
          <w:szCs w:val="24"/>
        </w:rPr>
        <w:t xml:space="preserve"> de los </w:t>
      </w:r>
      <w:proofErr w:type="spellStart"/>
      <w:r w:rsidRPr="00EA3EE6">
        <w:rPr>
          <w:rFonts w:cs="Arial"/>
          <w:sz w:val="24"/>
          <w:szCs w:val="24"/>
        </w:rPr>
        <w:t>pacientes</w:t>
      </w:r>
      <w:proofErr w:type="spellEnd"/>
      <w:r w:rsidRPr="00EA3EE6">
        <w:rPr>
          <w:rFonts w:cs="Arial"/>
          <w:sz w:val="24"/>
          <w:szCs w:val="24"/>
        </w:rPr>
        <w:t xml:space="preserve"> con </w:t>
      </w:r>
      <w:proofErr w:type="spellStart"/>
      <w:r w:rsidRPr="00EA3EE6">
        <w:rPr>
          <w:rFonts w:cs="Arial"/>
          <w:sz w:val="24"/>
          <w:szCs w:val="24"/>
        </w:rPr>
        <w:t>anticoagulantes</w:t>
      </w:r>
      <w:proofErr w:type="spellEnd"/>
      <w:r w:rsidRPr="00EA3EE6">
        <w:rPr>
          <w:rFonts w:cs="Arial"/>
          <w:sz w:val="24"/>
          <w:szCs w:val="24"/>
        </w:rPr>
        <w:t xml:space="preserve"> </w:t>
      </w:r>
      <w:proofErr w:type="spellStart"/>
      <w:r w:rsidRPr="00EA3EE6">
        <w:rPr>
          <w:rFonts w:cs="Arial"/>
          <w:sz w:val="24"/>
          <w:szCs w:val="24"/>
        </w:rPr>
        <w:t>orales</w:t>
      </w:r>
      <w:proofErr w:type="spellEnd"/>
      <w:r w:rsidRPr="00EA3EE6">
        <w:rPr>
          <w:rFonts w:cs="Arial"/>
          <w:sz w:val="24"/>
          <w:szCs w:val="24"/>
        </w:rPr>
        <w:t xml:space="preserve"> </w:t>
      </w:r>
      <w:proofErr w:type="spellStart"/>
      <w:r w:rsidRPr="00EA3EE6">
        <w:rPr>
          <w:rFonts w:cs="Arial"/>
          <w:sz w:val="24"/>
          <w:szCs w:val="24"/>
        </w:rPr>
        <w:t>directos</w:t>
      </w:r>
      <w:proofErr w:type="spellEnd"/>
      <w:r w:rsidRPr="00EA3EE6">
        <w:rPr>
          <w:rFonts w:cs="Arial"/>
          <w:sz w:val="24"/>
          <w:szCs w:val="24"/>
        </w:rPr>
        <w:t xml:space="preserve"> para </w:t>
      </w:r>
      <w:proofErr w:type="spellStart"/>
      <w:r w:rsidRPr="00EA3EE6">
        <w:rPr>
          <w:rFonts w:cs="Arial"/>
          <w:sz w:val="24"/>
          <w:szCs w:val="24"/>
        </w:rPr>
        <w:t>cirugía</w:t>
      </w:r>
      <w:proofErr w:type="spellEnd"/>
      <w:r w:rsidRPr="00EA3EE6">
        <w:rPr>
          <w:rFonts w:cs="Arial"/>
          <w:sz w:val="24"/>
          <w:szCs w:val="24"/>
        </w:rPr>
        <w:t xml:space="preserve"> </w:t>
      </w:r>
      <w:proofErr w:type="spellStart"/>
      <w:r w:rsidRPr="00EA3EE6">
        <w:rPr>
          <w:rFonts w:cs="Arial"/>
          <w:sz w:val="24"/>
          <w:szCs w:val="24"/>
        </w:rPr>
        <w:t>urgente</w:t>
      </w:r>
      <w:proofErr w:type="spellEnd"/>
      <w:r w:rsidRPr="00EA3EE6">
        <w:rPr>
          <w:rFonts w:cs="Arial"/>
          <w:sz w:val="24"/>
          <w:szCs w:val="24"/>
        </w:rPr>
        <w:t xml:space="preserve"> de fractura de </w:t>
      </w:r>
      <w:proofErr w:type="spellStart"/>
      <w:r w:rsidRPr="00EA3EE6">
        <w:rPr>
          <w:rFonts w:cs="Arial"/>
          <w:sz w:val="24"/>
          <w:szCs w:val="24"/>
        </w:rPr>
        <w:t>fémur</w:t>
      </w:r>
      <w:proofErr w:type="spellEnd"/>
      <w:r w:rsidRPr="00EA3EE6">
        <w:rPr>
          <w:rFonts w:cs="Arial"/>
          <w:sz w:val="24"/>
          <w:szCs w:val="24"/>
        </w:rPr>
        <w:t xml:space="preserve"> no </w:t>
      </w:r>
      <w:proofErr w:type="spellStart"/>
      <w:r w:rsidRPr="00EA3EE6">
        <w:rPr>
          <w:rFonts w:cs="Arial"/>
          <w:sz w:val="24"/>
          <w:szCs w:val="24"/>
        </w:rPr>
        <w:t>está</w:t>
      </w:r>
      <w:proofErr w:type="spellEnd"/>
      <w:r w:rsidRPr="00EA3EE6">
        <w:rPr>
          <w:rFonts w:cs="Arial"/>
          <w:sz w:val="24"/>
          <w:szCs w:val="24"/>
        </w:rPr>
        <w:t xml:space="preserve"> estandarizado</w:t>
      </w:r>
      <w:r w:rsidRPr="00EA3EE6">
        <w:rPr>
          <w:rFonts w:cs="Arial"/>
          <w:sz w:val="24"/>
          <w:szCs w:val="24"/>
          <w:vertAlign w:val="superscript"/>
        </w:rPr>
        <w:t>26,27</w:t>
      </w:r>
      <w:r w:rsidRPr="00EA3EE6">
        <w:rPr>
          <w:rFonts w:cs="Arial"/>
          <w:sz w:val="24"/>
          <w:szCs w:val="24"/>
        </w:rPr>
        <w:t>.</w:t>
      </w:r>
    </w:p>
    <w:p w14:paraId="2F1E55BF" w14:textId="77777777" w:rsidR="00EA3EE6" w:rsidRPr="00EA3EE6" w:rsidRDefault="00EA3EE6" w:rsidP="00EA3EE6">
      <w:pPr>
        <w:rPr>
          <w:rFonts w:cs="Arial"/>
          <w:sz w:val="24"/>
          <w:szCs w:val="24"/>
        </w:rPr>
      </w:pPr>
      <w:proofErr w:type="spellStart"/>
      <w:r w:rsidRPr="00EA3EE6">
        <w:rPr>
          <w:rFonts w:cs="Arial"/>
          <w:sz w:val="24"/>
          <w:szCs w:val="24"/>
        </w:rPr>
        <w:t>Algunos</w:t>
      </w:r>
      <w:proofErr w:type="spellEnd"/>
      <w:r w:rsidRPr="00EA3EE6">
        <w:rPr>
          <w:rFonts w:cs="Arial"/>
          <w:sz w:val="24"/>
          <w:szCs w:val="24"/>
        </w:rPr>
        <w:t xml:space="preserve"> autores han </w:t>
      </w:r>
      <w:proofErr w:type="spellStart"/>
      <w:r w:rsidRPr="00EA3EE6">
        <w:rPr>
          <w:rFonts w:cs="Arial"/>
          <w:sz w:val="24"/>
          <w:szCs w:val="24"/>
        </w:rPr>
        <w:t>propuesto</w:t>
      </w:r>
      <w:proofErr w:type="spellEnd"/>
      <w:r w:rsidRPr="00EA3EE6">
        <w:rPr>
          <w:rFonts w:cs="Arial"/>
          <w:sz w:val="24"/>
          <w:szCs w:val="24"/>
        </w:rPr>
        <w:t xml:space="preserve"> </w:t>
      </w:r>
      <w:proofErr w:type="spellStart"/>
      <w:r w:rsidRPr="00EA3EE6">
        <w:rPr>
          <w:rFonts w:cs="Arial"/>
          <w:sz w:val="24"/>
          <w:szCs w:val="24"/>
        </w:rPr>
        <w:t>emplear</w:t>
      </w:r>
      <w:proofErr w:type="spellEnd"/>
      <w:r w:rsidRPr="00EA3EE6">
        <w:rPr>
          <w:rFonts w:cs="Arial"/>
          <w:sz w:val="24"/>
          <w:szCs w:val="24"/>
        </w:rPr>
        <w:t xml:space="preserve"> los tests de </w:t>
      </w:r>
      <w:proofErr w:type="spellStart"/>
      <w:r w:rsidRPr="00EA3EE6">
        <w:rPr>
          <w:rFonts w:cs="Arial"/>
          <w:sz w:val="24"/>
          <w:szCs w:val="24"/>
        </w:rPr>
        <w:t>laboratorio</w:t>
      </w:r>
      <w:proofErr w:type="spellEnd"/>
      <w:r w:rsidRPr="00EA3EE6">
        <w:rPr>
          <w:rFonts w:cs="Arial"/>
          <w:sz w:val="24"/>
          <w:szCs w:val="24"/>
        </w:rPr>
        <w:t xml:space="preserve"> </w:t>
      </w:r>
      <w:proofErr w:type="spellStart"/>
      <w:r w:rsidRPr="00EA3EE6">
        <w:rPr>
          <w:rFonts w:cs="Arial"/>
          <w:sz w:val="24"/>
          <w:szCs w:val="24"/>
        </w:rPr>
        <w:t>estándar</w:t>
      </w:r>
      <w:proofErr w:type="spellEnd"/>
      <w:r w:rsidRPr="00EA3EE6">
        <w:rPr>
          <w:rFonts w:cs="Arial"/>
          <w:sz w:val="24"/>
          <w:szCs w:val="24"/>
        </w:rPr>
        <w:t xml:space="preserve"> como </w:t>
      </w:r>
      <w:proofErr w:type="spellStart"/>
      <w:r w:rsidRPr="00EA3EE6">
        <w:rPr>
          <w:rFonts w:cs="Arial"/>
          <w:sz w:val="24"/>
          <w:szCs w:val="24"/>
        </w:rPr>
        <w:t>ayuda</w:t>
      </w:r>
      <w:proofErr w:type="spellEnd"/>
      <w:r w:rsidRPr="00EA3EE6">
        <w:rPr>
          <w:rFonts w:cs="Arial"/>
          <w:sz w:val="24"/>
          <w:szCs w:val="24"/>
        </w:rPr>
        <w:t xml:space="preserve"> para la toma de </w:t>
      </w:r>
      <w:proofErr w:type="spellStart"/>
      <w:r w:rsidRPr="00EA3EE6">
        <w:rPr>
          <w:rFonts w:cs="Arial"/>
          <w:sz w:val="24"/>
          <w:szCs w:val="24"/>
        </w:rPr>
        <w:t>decisiones</w:t>
      </w:r>
      <w:proofErr w:type="spellEnd"/>
      <w:r w:rsidRPr="00EA3EE6">
        <w:rPr>
          <w:rFonts w:cs="Arial"/>
          <w:sz w:val="24"/>
          <w:szCs w:val="24"/>
        </w:rPr>
        <w:t xml:space="preserve"> en </w:t>
      </w:r>
      <w:proofErr w:type="spellStart"/>
      <w:r w:rsidRPr="00EA3EE6">
        <w:rPr>
          <w:rFonts w:cs="Arial"/>
          <w:sz w:val="24"/>
          <w:szCs w:val="24"/>
        </w:rPr>
        <w:t>cirugía</w:t>
      </w:r>
      <w:proofErr w:type="spellEnd"/>
      <w:r w:rsidRPr="00EA3EE6">
        <w:rPr>
          <w:rFonts w:cs="Arial"/>
          <w:sz w:val="24"/>
          <w:szCs w:val="24"/>
        </w:rPr>
        <w:t xml:space="preserve"> </w:t>
      </w:r>
      <w:proofErr w:type="spellStart"/>
      <w:r w:rsidRPr="00EA3EE6">
        <w:rPr>
          <w:rFonts w:cs="Arial"/>
          <w:sz w:val="24"/>
          <w:szCs w:val="24"/>
        </w:rPr>
        <w:t>urgente</w:t>
      </w:r>
      <w:proofErr w:type="spellEnd"/>
      <w:r w:rsidRPr="00EA3EE6">
        <w:rPr>
          <w:rFonts w:cs="Arial"/>
          <w:sz w:val="24"/>
          <w:szCs w:val="24"/>
        </w:rPr>
        <w:t xml:space="preserve"> en presencia de ACOD</w:t>
      </w:r>
      <w:r w:rsidRPr="00EA3EE6">
        <w:rPr>
          <w:rFonts w:cs="Arial"/>
          <w:sz w:val="24"/>
          <w:szCs w:val="24"/>
          <w:vertAlign w:val="superscript"/>
        </w:rPr>
        <w:t>2,9</w:t>
      </w:r>
      <w:r w:rsidRPr="00EA3EE6">
        <w:rPr>
          <w:rFonts w:cs="Arial"/>
          <w:sz w:val="24"/>
          <w:szCs w:val="24"/>
        </w:rPr>
        <w:t xml:space="preserve">, </w:t>
      </w:r>
      <w:proofErr w:type="spellStart"/>
      <w:r w:rsidRPr="00EA3EE6">
        <w:rPr>
          <w:rFonts w:cs="Arial"/>
          <w:sz w:val="24"/>
          <w:szCs w:val="24"/>
        </w:rPr>
        <w:t>pero</w:t>
      </w:r>
      <w:proofErr w:type="spellEnd"/>
      <w:r w:rsidRPr="00EA3EE6">
        <w:rPr>
          <w:rFonts w:cs="Arial"/>
          <w:sz w:val="24"/>
          <w:szCs w:val="24"/>
        </w:rPr>
        <w:t xml:space="preserve"> </w:t>
      </w:r>
      <w:proofErr w:type="spellStart"/>
      <w:r w:rsidRPr="00EA3EE6">
        <w:rPr>
          <w:rFonts w:cs="Arial"/>
          <w:sz w:val="24"/>
          <w:szCs w:val="24"/>
        </w:rPr>
        <w:t>otros</w:t>
      </w:r>
      <w:proofErr w:type="spellEnd"/>
      <w:r w:rsidRPr="00EA3EE6">
        <w:rPr>
          <w:rFonts w:cs="Arial"/>
          <w:sz w:val="24"/>
          <w:szCs w:val="24"/>
        </w:rPr>
        <w:t xml:space="preserve"> autores han </w:t>
      </w:r>
      <w:proofErr w:type="spellStart"/>
      <w:r w:rsidRPr="00EA3EE6">
        <w:rPr>
          <w:rFonts w:cs="Arial"/>
          <w:sz w:val="24"/>
          <w:szCs w:val="24"/>
        </w:rPr>
        <w:t>señalado</w:t>
      </w:r>
      <w:proofErr w:type="spellEnd"/>
      <w:r w:rsidRPr="00EA3EE6">
        <w:rPr>
          <w:rFonts w:cs="Arial"/>
          <w:sz w:val="24"/>
          <w:szCs w:val="24"/>
        </w:rPr>
        <w:t xml:space="preserve"> que </w:t>
      </w:r>
      <w:proofErr w:type="spellStart"/>
      <w:r w:rsidRPr="00EA3EE6">
        <w:rPr>
          <w:rFonts w:cs="Arial"/>
          <w:sz w:val="24"/>
          <w:szCs w:val="24"/>
        </w:rPr>
        <w:t>hay</w:t>
      </w:r>
      <w:proofErr w:type="spellEnd"/>
      <w:r w:rsidRPr="00EA3EE6">
        <w:rPr>
          <w:rFonts w:cs="Arial"/>
          <w:sz w:val="24"/>
          <w:szCs w:val="24"/>
        </w:rPr>
        <w:t xml:space="preserve"> una gran </w:t>
      </w:r>
      <w:proofErr w:type="spellStart"/>
      <w:r w:rsidRPr="00EA3EE6">
        <w:rPr>
          <w:rFonts w:cs="Arial"/>
          <w:sz w:val="24"/>
          <w:szCs w:val="24"/>
        </w:rPr>
        <w:t>variabilidad</w:t>
      </w:r>
      <w:proofErr w:type="spellEnd"/>
      <w:r w:rsidRPr="00EA3EE6">
        <w:rPr>
          <w:rFonts w:cs="Arial"/>
          <w:sz w:val="24"/>
          <w:szCs w:val="24"/>
        </w:rPr>
        <w:t xml:space="preserve"> en los </w:t>
      </w:r>
      <w:proofErr w:type="spellStart"/>
      <w:r w:rsidRPr="00EA3EE6">
        <w:rPr>
          <w:rFonts w:cs="Arial"/>
          <w:sz w:val="24"/>
          <w:szCs w:val="24"/>
        </w:rPr>
        <w:t>resultados</w:t>
      </w:r>
      <w:proofErr w:type="spellEnd"/>
      <w:r w:rsidRPr="00EA3EE6">
        <w:rPr>
          <w:rFonts w:cs="Arial"/>
          <w:sz w:val="24"/>
          <w:szCs w:val="24"/>
        </w:rPr>
        <w:t xml:space="preserve"> </w:t>
      </w:r>
      <w:proofErr w:type="spellStart"/>
      <w:r w:rsidRPr="00EA3EE6">
        <w:rPr>
          <w:rFonts w:cs="Arial"/>
          <w:sz w:val="24"/>
          <w:szCs w:val="24"/>
        </w:rPr>
        <w:t>según</w:t>
      </w:r>
      <w:proofErr w:type="spellEnd"/>
      <w:r w:rsidRPr="00EA3EE6">
        <w:rPr>
          <w:rFonts w:cs="Arial"/>
          <w:sz w:val="24"/>
          <w:szCs w:val="24"/>
        </w:rPr>
        <w:t xml:space="preserve"> los </w:t>
      </w:r>
      <w:proofErr w:type="spellStart"/>
      <w:r w:rsidRPr="00EA3EE6">
        <w:rPr>
          <w:rFonts w:cs="Arial"/>
          <w:sz w:val="24"/>
          <w:szCs w:val="24"/>
        </w:rPr>
        <w:t>reactivos</w:t>
      </w:r>
      <w:proofErr w:type="spellEnd"/>
      <w:r w:rsidRPr="00EA3EE6">
        <w:rPr>
          <w:rFonts w:cs="Arial"/>
          <w:sz w:val="24"/>
          <w:szCs w:val="24"/>
        </w:rPr>
        <w:t xml:space="preserve"> </w:t>
      </w:r>
      <w:proofErr w:type="spellStart"/>
      <w:r w:rsidRPr="00EA3EE6">
        <w:rPr>
          <w:rFonts w:cs="Arial"/>
          <w:sz w:val="24"/>
          <w:szCs w:val="24"/>
        </w:rPr>
        <w:t>empleados</w:t>
      </w:r>
      <w:proofErr w:type="spellEnd"/>
      <w:r w:rsidRPr="00EA3EE6">
        <w:rPr>
          <w:rFonts w:cs="Arial"/>
          <w:sz w:val="24"/>
          <w:szCs w:val="24"/>
        </w:rPr>
        <w:t xml:space="preserve"> por el </w:t>
      </w:r>
      <w:proofErr w:type="spellStart"/>
      <w:r w:rsidRPr="00EA3EE6">
        <w:rPr>
          <w:rFonts w:cs="Arial"/>
          <w:sz w:val="24"/>
          <w:szCs w:val="24"/>
        </w:rPr>
        <w:t>laboratorio</w:t>
      </w:r>
      <w:proofErr w:type="spellEnd"/>
      <w:r w:rsidRPr="00EA3EE6">
        <w:rPr>
          <w:rFonts w:cs="Arial"/>
          <w:sz w:val="24"/>
          <w:szCs w:val="24"/>
        </w:rPr>
        <w:t xml:space="preserve"> </w:t>
      </w:r>
      <w:proofErr w:type="spellStart"/>
      <w:r w:rsidRPr="00EA3EE6">
        <w:rPr>
          <w:rFonts w:cs="Arial"/>
          <w:sz w:val="24"/>
          <w:szCs w:val="24"/>
        </w:rPr>
        <w:t>así</w:t>
      </w:r>
      <w:proofErr w:type="spellEnd"/>
      <w:r w:rsidRPr="00EA3EE6">
        <w:rPr>
          <w:rFonts w:cs="Arial"/>
          <w:sz w:val="24"/>
          <w:szCs w:val="24"/>
        </w:rPr>
        <w:t xml:space="preserve"> como </w:t>
      </w:r>
      <w:proofErr w:type="spellStart"/>
      <w:r w:rsidRPr="00EA3EE6">
        <w:rPr>
          <w:rFonts w:cs="Arial"/>
          <w:sz w:val="24"/>
          <w:szCs w:val="24"/>
        </w:rPr>
        <w:t>su</w:t>
      </w:r>
      <w:proofErr w:type="spellEnd"/>
      <w:r w:rsidRPr="00EA3EE6">
        <w:rPr>
          <w:rFonts w:cs="Arial"/>
          <w:sz w:val="24"/>
          <w:szCs w:val="24"/>
        </w:rPr>
        <w:t xml:space="preserve"> poca </w:t>
      </w:r>
      <w:proofErr w:type="spellStart"/>
      <w:r w:rsidRPr="00EA3EE6">
        <w:rPr>
          <w:rFonts w:cs="Arial"/>
          <w:sz w:val="24"/>
          <w:szCs w:val="24"/>
        </w:rPr>
        <w:t>especificidad</w:t>
      </w:r>
      <w:proofErr w:type="spellEnd"/>
      <w:r w:rsidRPr="00EA3EE6">
        <w:rPr>
          <w:rFonts w:cs="Arial"/>
          <w:sz w:val="24"/>
          <w:szCs w:val="24"/>
        </w:rPr>
        <w:t xml:space="preserve"> para </w:t>
      </w:r>
      <w:proofErr w:type="spellStart"/>
      <w:r w:rsidRPr="00EA3EE6">
        <w:rPr>
          <w:rFonts w:cs="Arial"/>
          <w:sz w:val="24"/>
          <w:szCs w:val="24"/>
        </w:rPr>
        <w:t>predecir</w:t>
      </w:r>
      <w:proofErr w:type="spellEnd"/>
      <w:r w:rsidRPr="00EA3EE6">
        <w:rPr>
          <w:rFonts w:cs="Arial"/>
          <w:sz w:val="24"/>
          <w:szCs w:val="24"/>
        </w:rPr>
        <w:t xml:space="preserve"> la </w:t>
      </w:r>
      <w:proofErr w:type="spellStart"/>
      <w:r w:rsidRPr="00EA3EE6">
        <w:rPr>
          <w:rFonts w:cs="Arial"/>
          <w:sz w:val="24"/>
          <w:szCs w:val="24"/>
        </w:rPr>
        <w:t>cantidad</w:t>
      </w:r>
      <w:proofErr w:type="spellEnd"/>
      <w:r w:rsidRPr="00EA3EE6">
        <w:rPr>
          <w:rFonts w:cs="Arial"/>
          <w:sz w:val="24"/>
          <w:szCs w:val="24"/>
        </w:rPr>
        <w:t xml:space="preserve"> de ACOD residual en sangre</w:t>
      </w:r>
      <w:r w:rsidRPr="00EA3EE6">
        <w:rPr>
          <w:rFonts w:cs="Arial"/>
          <w:sz w:val="24"/>
          <w:szCs w:val="24"/>
          <w:vertAlign w:val="superscript"/>
        </w:rPr>
        <w:t>28,29</w:t>
      </w:r>
      <w:r w:rsidRPr="00EA3EE6">
        <w:rPr>
          <w:rFonts w:cs="Arial"/>
          <w:sz w:val="24"/>
          <w:szCs w:val="24"/>
        </w:rPr>
        <w:t xml:space="preserve">. </w:t>
      </w:r>
    </w:p>
    <w:p w14:paraId="39CC43AC" w14:textId="77777777" w:rsidR="00EA3EE6" w:rsidRPr="00EA3EE6" w:rsidRDefault="00EA3EE6" w:rsidP="00EA3EE6">
      <w:pPr>
        <w:rPr>
          <w:rFonts w:cs="Arial"/>
          <w:sz w:val="24"/>
          <w:szCs w:val="24"/>
        </w:rPr>
      </w:pPr>
      <w:proofErr w:type="spellStart"/>
      <w:r w:rsidRPr="00EA3EE6">
        <w:rPr>
          <w:rFonts w:cs="Arial"/>
          <w:sz w:val="24"/>
          <w:szCs w:val="24"/>
        </w:rPr>
        <w:lastRenderedPageBreak/>
        <w:t>También</w:t>
      </w:r>
      <w:proofErr w:type="spellEnd"/>
      <w:r w:rsidRPr="00EA3EE6">
        <w:rPr>
          <w:rFonts w:cs="Arial"/>
          <w:sz w:val="24"/>
          <w:szCs w:val="24"/>
        </w:rPr>
        <w:t xml:space="preserve"> se han </w:t>
      </w:r>
      <w:proofErr w:type="spellStart"/>
      <w:r w:rsidRPr="00EA3EE6">
        <w:rPr>
          <w:rFonts w:cs="Arial"/>
          <w:sz w:val="24"/>
          <w:szCs w:val="24"/>
        </w:rPr>
        <w:t>diseñado</w:t>
      </w:r>
      <w:proofErr w:type="spellEnd"/>
      <w:r w:rsidRPr="00EA3EE6">
        <w:rPr>
          <w:rFonts w:cs="Arial"/>
          <w:sz w:val="24"/>
          <w:szCs w:val="24"/>
        </w:rPr>
        <w:t xml:space="preserve"> </w:t>
      </w:r>
      <w:proofErr w:type="spellStart"/>
      <w:r w:rsidRPr="00EA3EE6">
        <w:rPr>
          <w:rFonts w:cs="Arial"/>
          <w:sz w:val="24"/>
          <w:szCs w:val="24"/>
        </w:rPr>
        <w:t>pruebas</w:t>
      </w:r>
      <w:proofErr w:type="spellEnd"/>
      <w:r w:rsidRPr="00EA3EE6">
        <w:rPr>
          <w:rFonts w:cs="Arial"/>
          <w:sz w:val="24"/>
          <w:szCs w:val="24"/>
        </w:rPr>
        <w:t xml:space="preserve"> de </w:t>
      </w:r>
      <w:proofErr w:type="spellStart"/>
      <w:r w:rsidRPr="00EA3EE6">
        <w:rPr>
          <w:rFonts w:cs="Arial"/>
          <w:sz w:val="24"/>
          <w:szCs w:val="24"/>
        </w:rPr>
        <w:t>laboratorio</w:t>
      </w:r>
      <w:proofErr w:type="spellEnd"/>
      <w:r w:rsidRPr="00EA3EE6">
        <w:rPr>
          <w:rFonts w:cs="Arial"/>
          <w:sz w:val="24"/>
          <w:szCs w:val="24"/>
        </w:rPr>
        <w:t xml:space="preserve"> capaces de </w:t>
      </w:r>
      <w:proofErr w:type="spellStart"/>
      <w:r w:rsidRPr="00EA3EE6">
        <w:rPr>
          <w:rFonts w:cs="Arial"/>
          <w:sz w:val="24"/>
          <w:szCs w:val="24"/>
        </w:rPr>
        <w:t>medir</w:t>
      </w:r>
      <w:proofErr w:type="spellEnd"/>
      <w:r w:rsidRPr="00EA3EE6">
        <w:rPr>
          <w:rFonts w:cs="Arial"/>
          <w:sz w:val="24"/>
          <w:szCs w:val="24"/>
        </w:rPr>
        <w:t xml:space="preserve"> la </w:t>
      </w:r>
      <w:proofErr w:type="spellStart"/>
      <w:r w:rsidRPr="00EA3EE6">
        <w:rPr>
          <w:rFonts w:cs="Arial"/>
          <w:sz w:val="24"/>
          <w:szCs w:val="24"/>
        </w:rPr>
        <w:t>concentración</w:t>
      </w:r>
      <w:proofErr w:type="spellEnd"/>
      <w:r w:rsidRPr="00EA3EE6">
        <w:rPr>
          <w:rFonts w:cs="Arial"/>
          <w:sz w:val="24"/>
          <w:szCs w:val="24"/>
        </w:rPr>
        <w:t xml:space="preserve"> del </w:t>
      </w:r>
      <w:proofErr w:type="spellStart"/>
      <w:r w:rsidRPr="00EA3EE6">
        <w:rPr>
          <w:rFonts w:cs="Arial"/>
          <w:sz w:val="24"/>
          <w:szCs w:val="24"/>
        </w:rPr>
        <w:t>fármaco</w:t>
      </w:r>
      <w:proofErr w:type="spellEnd"/>
      <w:r w:rsidRPr="00EA3EE6">
        <w:rPr>
          <w:rFonts w:cs="Arial"/>
          <w:sz w:val="24"/>
          <w:szCs w:val="24"/>
        </w:rPr>
        <w:t xml:space="preserve"> (</w:t>
      </w:r>
      <w:proofErr w:type="spellStart"/>
      <w:r w:rsidRPr="00EA3EE6">
        <w:rPr>
          <w:rFonts w:cs="Arial"/>
          <w:sz w:val="24"/>
          <w:szCs w:val="24"/>
        </w:rPr>
        <w:t>ng</w:t>
      </w:r>
      <w:proofErr w:type="spellEnd"/>
      <w:r w:rsidRPr="00EA3EE6">
        <w:rPr>
          <w:rFonts w:cs="Arial"/>
          <w:sz w:val="24"/>
          <w:szCs w:val="24"/>
        </w:rPr>
        <w:t>/ml)</w:t>
      </w:r>
      <w:r w:rsidRPr="00EA3EE6">
        <w:rPr>
          <w:rFonts w:cs="Arial"/>
          <w:sz w:val="24"/>
          <w:szCs w:val="24"/>
          <w:vertAlign w:val="superscript"/>
        </w:rPr>
        <w:t>2,30</w:t>
      </w:r>
      <w:r w:rsidRPr="00EA3EE6">
        <w:rPr>
          <w:rFonts w:cs="Arial"/>
          <w:sz w:val="24"/>
          <w:szCs w:val="24"/>
        </w:rPr>
        <w:t xml:space="preserve">, que a </w:t>
      </w:r>
      <w:proofErr w:type="spellStart"/>
      <w:r w:rsidRPr="00EA3EE6">
        <w:rPr>
          <w:rFonts w:cs="Arial"/>
          <w:sz w:val="24"/>
          <w:szCs w:val="24"/>
        </w:rPr>
        <w:t>día</w:t>
      </w:r>
      <w:proofErr w:type="spellEnd"/>
      <w:r w:rsidRPr="00EA3EE6">
        <w:rPr>
          <w:rFonts w:cs="Arial"/>
          <w:sz w:val="24"/>
          <w:szCs w:val="24"/>
        </w:rPr>
        <w:t xml:space="preserve"> de </w:t>
      </w:r>
      <w:proofErr w:type="spellStart"/>
      <w:r w:rsidRPr="00EA3EE6">
        <w:rPr>
          <w:rFonts w:cs="Arial"/>
          <w:sz w:val="24"/>
          <w:szCs w:val="24"/>
        </w:rPr>
        <w:t>hoy</w:t>
      </w:r>
      <w:proofErr w:type="spellEnd"/>
      <w:r w:rsidRPr="00EA3EE6">
        <w:rPr>
          <w:rFonts w:cs="Arial"/>
          <w:sz w:val="24"/>
          <w:szCs w:val="24"/>
        </w:rPr>
        <w:t xml:space="preserve"> </w:t>
      </w:r>
      <w:proofErr w:type="spellStart"/>
      <w:r w:rsidRPr="00EA3EE6">
        <w:rPr>
          <w:rFonts w:cs="Arial"/>
          <w:sz w:val="24"/>
          <w:szCs w:val="24"/>
        </w:rPr>
        <w:t>tienen</w:t>
      </w:r>
      <w:proofErr w:type="spellEnd"/>
      <w:r w:rsidRPr="00EA3EE6">
        <w:rPr>
          <w:rFonts w:cs="Arial"/>
          <w:sz w:val="24"/>
          <w:szCs w:val="24"/>
        </w:rPr>
        <w:t xml:space="preserve"> el </w:t>
      </w:r>
      <w:proofErr w:type="spellStart"/>
      <w:r w:rsidRPr="00EA3EE6">
        <w:rPr>
          <w:rFonts w:cs="Arial"/>
          <w:sz w:val="24"/>
          <w:szCs w:val="24"/>
        </w:rPr>
        <w:t>inconveniente</w:t>
      </w:r>
      <w:proofErr w:type="spellEnd"/>
      <w:r w:rsidRPr="00EA3EE6">
        <w:rPr>
          <w:rFonts w:cs="Arial"/>
          <w:sz w:val="24"/>
          <w:szCs w:val="24"/>
        </w:rPr>
        <w:t xml:space="preserve"> que no han </w:t>
      </w:r>
      <w:proofErr w:type="spellStart"/>
      <w:r w:rsidRPr="00EA3EE6">
        <w:rPr>
          <w:rFonts w:cs="Arial"/>
          <w:sz w:val="24"/>
          <w:szCs w:val="24"/>
        </w:rPr>
        <w:t>sido</w:t>
      </w:r>
      <w:proofErr w:type="spellEnd"/>
      <w:r w:rsidRPr="00EA3EE6">
        <w:rPr>
          <w:rFonts w:cs="Arial"/>
          <w:sz w:val="24"/>
          <w:szCs w:val="24"/>
        </w:rPr>
        <w:t xml:space="preserve"> </w:t>
      </w:r>
      <w:proofErr w:type="spellStart"/>
      <w:r w:rsidRPr="00EA3EE6">
        <w:rPr>
          <w:rFonts w:cs="Arial"/>
          <w:sz w:val="24"/>
          <w:szCs w:val="24"/>
        </w:rPr>
        <w:t>clínicamente</w:t>
      </w:r>
      <w:proofErr w:type="spellEnd"/>
      <w:r w:rsidRPr="00EA3EE6">
        <w:rPr>
          <w:rFonts w:cs="Arial"/>
          <w:sz w:val="24"/>
          <w:szCs w:val="24"/>
        </w:rPr>
        <w:t xml:space="preserve"> validadas</w:t>
      </w:r>
      <w:r w:rsidRPr="00EA3EE6">
        <w:rPr>
          <w:rFonts w:cs="Arial"/>
          <w:sz w:val="24"/>
          <w:szCs w:val="24"/>
          <w:vertAlign w:val="superscript"/>
        </w:rPr>
        <w:t>31</w:t>
      </w:r>
      <w:r w:rsidRPr="00EA3EE6">
        <w:rPr>
          <w:rFonts w:cs="Arial"/>
          <w:sz w:val="24"/>
          <w:szCs w:val="24"/>
        </w:rPr>
        <w:t>.</w:t>
      </w:r>
    </w:p>
    <w:p w14:paraId="6C4CFBAB" w14:textId="2B1CEB70" w:rsidR="00EA3EE6" w:rsidRDefault="00EA3EE6" w:rsidP="00EA3EE6">
      <w:pPr>
        <w:rPr>
          <w:rFonts w:cs="Arial"/>
          <w:sz w:val="24"/>
          <w:szCs w:val="24"/>
        </w:rPr>
      </w:pPr>
      <w:proofErr w:type="spellStart"/>
      <w:r w:rsidRPr="00EA3EE6">
        <w:rPr>
          <w:rFonts w:cs="Arial"/>
          <w:sz w:val="24"/>
          <w:szCs w:val="24"/>
        </w:rPr>
        <w:t>Conociendo</w:t>
      </w:r>
      <w:proofErr w:type="spellEnd"/>
      <w:r w:rsidRPr="00EA3EE6">
        <w:rPr>
          <w:rFonts w:cs="Arial"/>
          <w:sz w:val="24"/>
          <w:szCs w:val="24"/>
        </w:rPr>
        <w:t xml:space="preserve"> la </w:t>
      </w:r>
      <w:proofErr w:type="spellStart"/>
      <w:r w:rsidRPr="00EA3EE6">
        <w:rPr>
          <w:rFonts w:cs="Arial"/>
          <w:sz w:val="24"/>
          <w:szCs w:val="24"/>
        </w:rPr>
        <w:t>predictibilidad</w:t>
      </w:r>
      <w:proofErr w:type="spellEnd"/>
      <w:r w:rsidRPr="00EA3EE6">
        <w:rPr>
          <w:rFonts w:cs="Arial"/>
          <w:sz w:val="24"/>
          <w:szCs w:val="24"/>
        </w:rPr>
        <w:t xml:space="preserve"> de estos </w:t>
      </w:r>
      <w:proofErr w:type="spellStart"/>
      <w:r w:rsidRPr="00EA3EE6">
        <w:rPr>
          <w:rFonts w:cs="Arial"/>
          <w:sz w:val="24"/>
          <w:szCs w:val="24"/>
        </w:rPr>
        <w:t>fármacos</w:t>
      </w:r>
      <w:proofErr w:type="spellEnd"/>
      <w:r w:rsidRPr="00EA3EE6">
        <w:rPr>
          <w:rFonts w:cs="Arial"/>
          <w:sz w:val="24"/>
          <w:szCs w:val="24"/>
        </w:rPr>
        <w:t xml:space="preserve">, se </w:t>
      </w:r>
      <w:proofErr w:type="spellStart"/>
      <w:r w:rsidRPr="00EA3EE6">
        <w:rPr>
          <w:rFonts w:cs="Arial"/>
          <w:sz w:val="24"/>
          <w:szCs w:val="24"/>
        </w:rPr>
        <w:t>propone</w:t>
      </w:r>
      <w:proofErr w:type="spellEnd"/>
      <w:r w:rsidRPr="00EA3EE6">
        <w:rPr>
          <w:rFonts w:cs="Arial"/>
          <w:sz w:val="24"/>
          <w:szCs w:val="24"/>
        </w:rPr>
        <w:t xml:space="preserve"> planificar la </w:t>
      </w:r>
      <w:proofErr w:type="spellStart"/>
      <w:r w:rsidRPr="00EA3EE6">
        <w:rPr>
          <w:rFonts w:cs="Arial"/>
          <w:sz w:val="24"/>
          <w:szCs w:val="24"/>
        </w:rPr>
        <w:t>cirugía</w:t>
      </w:r>
      <w:proofErr w:type="spellEnd"/>
      <w:r w:rsidRPr="00EA3EE6">
        <w:rPr>
          <w:rFonts w:cs="Arial"/>
          <w:sz w:val="24"/>
          <w:szCs w:val="24"/>
        </w:rPr>
        <w:t xml:space="preserve"> </w:t>
      </w:r>
      <w:proofErr w:type="spellStart"/>
      <w:r w:rsidRPr="00EA3EE6">
        <w:rPr>
          <w:rFonts w:cs="Arial"/>
          <w:sz w:val="24"/>
          <w:szCs w:val="24"/>
        </w:rPr>
        <w:t>precoz</w:t>
      </w:r>
      <w:proofErr w:type="spellEnd"/>
      <w:r w:rsidRPr="00EA3EE6">
        <w:rPr>
          <w:rFonts w:cs="Arial"/>
          <w:sz w:val="24"/>
          <w:szCs w:val="24"/>
        </w:rPr>
        <w:t xml:space="preserve"> de fractura de </w:t>
      </w:r>
      <w:proofErr w:type="spellStart"/>
      <w:r w:rsidRPr="00EA3EE6">
        <w:rPr>
          <w:rFonts w:cs="Arial"/>
          <w:sz w:val="24"/>
          <w:szCs w:val="24"/>
        </w:rPr>
        <w:t>fémur</w:t>
      </w:r>
      <w:proofErr w:type="spellEnd"/>
      <w:r w:rsidRPr="00EA3EE6">
        <w:rPr>
          <w:rFonts w:cs="Arial"/>
          <w:sz w:val="24"/>
          <w:szCs w:val="24"/>
        </w:rPr>
        <w:t xml:space="preserve"> </w:t>
      </w:r>
      <w:proofErr w:type="spellStart"/>
      <w:r w:rsidRPr="00EA3EE6">
        <w:rPr>
          <w:rFonts w:cs="Arial"/>
          <w:sz w:val="24"/>
          <w:szCs w:val="24"/>
        </w:rPr>
        <w:t>teniendo</w:t>
      </w:r>
      <w:proofErr w:type="spellEnd"/>
      <w:r w:rsidRPr="00EA3EE6">
        <w:rPr>
          <w:rFonts w:cs="Arial"/>
          <w:sz w:val="24"/>
          <w:szCs w:val="24"/>
        </w:rPr>
        <w:t xml:space="preserve"> en </w:t>
      </w:r>
      <w:proofErr w:type="spellStart"/>
      <w:r w:rsidRPr="00EA3EE6">
        <w:rPr>
          <w:rFonts w:cs="Arial"/>
          <w:sz w:val="24"/>
          <w:szCs w:val="24"/>
        </w:rPr>
        <w:t>consideración</w:t>
      </w:r>
      <w:proofErr w:type="spellEnd"/>
      <w:r w:rsidRPr="00EA3EE6">
        <w:rPr>
          <w:rFonts w:cs="Arial"/>
          <w:sz w:val="24"/>
          <w:szCs w:val="24"/>
        </w:rPr>
        <w:t xml:space="preserve"> el tipo de ACOD, </w:t>
      </w:r>
      <w:proofErr w:type="spellStart"/>
      <w:r w:rsidRPr="00EA3EE6">
        <w:rPr>
          <w:rFonts w:cs="Arial"/>
          <w:sz w:val="24"/>
          <w:szCs w:val="24"/>
        </w:rPr>
        <w:t>su</w:t>
      </w:r>
      <w:proofErr w:type="spellEnd"/>
      <w:r w:rsidRPr="00EA3EE6">
        <w:rPr>
          <w:rFonts w:cs="Arial"/>
          <w:sz w:val="24"/>
          <w:szCs w:val="24"/>
        </w:rPr>
        <w:t xml:space="preserve"> vida </w:t>
      </w:r>
      <w:proofErr w:type="spellStart"/>
      <w:r w:rsidRPr="00EA3EE6">
        <w:rPr>
          <w:rFonts w:cs="Arial"/>
          <w:sz w:val="24"/>
          <w:szCs w:val="24"/>
        </w:rPr>
        <w:t>media</w:t>
      </w:r>
      <w:proofErr w:type="spellEnd"/>
      <w:r w:rsidRPr="00EA3EE6">
        <w:rPr>
          <w:rFonts w:cs="Arial"/>
          <w:sz w:val="24"/>
          <w:szCs w:val="24"/>
        </w:rPr>
        <w:t xml:space="preserve"> y el </w:t>
      </w:r>
      <w:proofErr w:type="spellStart"/>
      <w:r w:rsidRPr="00EA3EE6">
        <w:rPr>
          <w:rFonts w:cs="Arial"/>
          <w:sz w:val="24"/>
          <w:szCs w:val="24"/>
        </w:rPr>
        <w:t>filtrado</w:t>
      </w:r>
      <w:proofErr w:type="spellEnd"/>
      <w:r w:rsidRPr="00EA3EE6">
        <w:rPr>
          <w:rFonts w:cs="Arial"/>
          <w:sz w:val="24"/>
          <w:szCs w:val="24"/>
        </w:rPr>
        <w:t xml:space="preserve"> glomerular del </w:t>
      </w:r>
      <w:proofErr w:type="spellStart"/>
      <w:r w:rsidRPr="00EA3EE6">
        <w:rPr>
          <w:rFonts w:cs="Arial"/>
          <w:sz w:val="24"/>
          <w:szCs w:val="24"/>
        </w:rPr>
        <w:t>paciente</w:t>
      </w:r>
      <w:proofErr w:type="spellEnd"/>
      <w:r w:rsidRPr="00EA3EE6">
        <w:rPr>
          <w:rFonts w:cs="Arial"/>
          <w:sz w:val="24"/>
          <w:szCs w:val="24"/>
        </w:rPr>
        <w:t xml:space="preserve"> </w:t>
      </w:r>
      <w:proofErr w:type="spellStart"/>
      <w:r w:rsidRPr="00EA3EE6">
        <w:rPr>
          <w:rFonts w:cs="Arial"/>
          <w:sz w:val="24"/>
          <w:szCs w:val="24"/>
        </w:rPr>
        <w:t>dentro</w:t>
      </w:r>
      <w:proofErr w:type="spellEnd"/>
      <w:r w:rsidRPr="00EA3EE6">
        <w:rPr>
          <w:rFonts w:cs="Arial"/>
          <w:sz w:val="24"/>
          <w:szCs w:val="24"/>
        </w:rPr>
        <w:t xml:space="preserve"> de las </w:t>
      </w:r>
      <w:proofErr w:type="spellStart"/>
      <w:r w:rsidRPr="00EA3EE6">
        <w:rPr>
          <w:rFonts w:cs="Arial"/>
          <w:sz w:val="24"/>
          <w:szCs w:val="24"/>
        </w:rPr>
        <w:t>primeras</w:t>
      </w:r>
      <w:proofErr w:type="spellEnd"/>
      <w:r w:rsidRPr="00EA3EE6">
        <w:rPr>
          <w:rFonts w:cs="Arial"/>
          <w:sz w:val="24"/>
          <w:szCs w:val="24"/>
        </w:rPr>
        <w:t xml:space="preserve"> 48 horas</w:t>
      </w:r>
      <w:r w:rsidRPr="00EA3EE6">
        <w:rPr>
          <w:rFonts w:cs="Arial"/>
          <w:sz w:val="24"/>
          <w:szCs w:val="24"/>
          <w:vertAlign w:val="superscript"/>
        </w:rPr>
        <w:t>2,4,31</w:t>
      </w:r>
      <w:r w:rsidR="00525FAC">
        <w:rPr>
          <w:rFonts w:cs="Arial"/>
          <w:sz w:val="24"/>
          <w:szCs w:val="24"/>
        </w:rPr>
        <w:t>(</w:t>
      </w:r>
      <w:proofErr w:type="spellStart"/>
      <w:r w:rsidR="00525FAC" w:rsidRPr="002E5D9C">
        <w:rPr>
          <w:rFonts w:cs="Arial"/>
        </w:rPr>
        <w:t>anexo</w:t>
      </w:r>
      <w:proofErr w:type="spellEnd"/>
      <w:r w:rsidR="00525FAC" w:rsidRPr="002E5D9C">
        <w:rPr>
          <w:rFonts w:cs="Arial"/>
        </w:rPr>
        <w:t xml:space="preserve"> 2</w:t>
      </w:r>
      <w:r w:rsidR="00525FAC">
        <w:rPr>
          <w:rFonts w:cs="Arial"/>
          <w:sz w:val="24"/>
          <w:szCs w:val="24"/>
        </w:rPr>
        <w:t>).</w:t>
      </w:r>
    </w:p>
    <w:p w14:paraId="1D5994DC" w14:textId="3BEB650D" w:rsidR="00F30AFD" w:rsidRDefault="00F30AFD" w:rsidP="00EA3EE6">
      <w:pPr>
        <w:rPr>
          <w:rFonts w:cs="Arial"/>
          <w:sz w:val="24"/>
          <w:szCs w:val="24"/>
        </w:rPr>
      </w:pPr>
      <w:proofErr w:type="spellStart"/>
      <w:r>
        <w:rPr>
          <w:rFonts w:cs="Arial"/>
          <w:sz w:val="24"/>
          <w:szCs w:val="24"/>
        </w:rPr>
        <w:t>Mientras</w:t>
      </w:r>
      <w:proofErr w:type="spellEnd"/>
      <w:r>
        <w:rPr>
          <w:rFonts w:cs="Arial"/>
          <w:sz w:val="24"/>
          <w:szCs w:val="24"/>
        </w:rPr>
        <w:t xml:space="preserve"> </w:t>
      </w:r>
      <w:proofErr w:type="spellStart"/>
      <w:r>
        <w:rPr>
          <w:rFonts w:cs="Arial"/>
          <w:sz w:val="24"/>
          <w:szCs w:val="24"/>
        </w:rPr>
        <w:t>desaparece</w:t>
      </w:r>
      <w:proofErr w:type="spellEnd"/>
      <w:r>
        <w:rPr>
          <w:rFonts w:cs="Arial"/>
          <w:sz w:val="24"/>
          <w:szCs w:val="24"/>
        </w:rPr>
        <w:t xml:space="preserve"> el </w:t>
      </w:r>
      <w:proofErr w:type="spellStart"/>
      <w:r>
        <w:rPr>
          <w:rFonts w:cs="Arial"/>
          <w:sz w:val="24"/>
          <w:szCs w:val="24"/>
        </w:rPr>
        <w:t>efecto</w:t>
      </w:r>
      <w:proofErr w:type="spellEnd"/>
      <w:r>
        <w:rPr>
          <w:rFonts w:cs="Arial"/>
          <w:sz w:val="24"/>
          <w:szCs w:val="24"/>
        </w:rPr>
        <w:t xml:space="preserve"> </w:t>
      </w:r>
      <w:proofErr w:type="spellStart"/>
      <w:r>
        <w:rPr>
          <w:rFonts w:cs="Arial"/>
          <w:sz w:val="24"/>
          <w:szCs w:val="24"/>
        </w:rPr>
        <w:t>anticoagulante</w:t>
      </w:r>
      <w:proofErr w:type="spellEnd"/>
      <w:r>
        <w:rPr>
          <w:rFonts w:cs="Arial"/>
          <w:sz w:val="24"/>
          <w:szCs w:val="24"/>
        </w:rPr>
        <w:t xml:space="preserve"> del ACOD, no </w:t>
      </w:r>
      <w:proofErr w:type="spellStart"/>
      <w:r>
        <w:rPr>
          <w:rFonts w:cs="Arial"/>
          <w:sz w:val="24"/>
          <w:szCs w:val="24"/>
        </w:rPr>
        <w:t>está</w:t>
      </w:r>
      <w:proofErr w:type="spellEnd"/>
      <w:r>
        <w:rPr>
          <w:rFonts w:cs="Arial"/>
          <w:sz w:val="24"/>
          <w:szCs w:val="24"/>
        </w:rPr>
        <w:t xml:space="preserve"> indicada la </w:t>
      </w:r>
      <w:proofErr w:type="spellStart"/>
      <w:r>
        <w:rPr>
          <w:rFonts w:cs="Arial"/>
          <w:sz w:val="24"/>
          <w:szCs w:val="24"/>
        </w:rPr>
        <w:t>administración</w:t>
      </w:r>
      <w:proofErr w:type="spellEnd"/>
      <w:r>
        <w:rPr>
          <w:rFonts w:cs="Arial"/>
          <w:sz w:val="24"/>
          <w:szCs w:val="24"/>
        </w:rPr>
        <w:t xml:space="preserve"> de HBPM </w:t>
      </w:r>
      <w:proofErr w:type="spellStart"/>
      <w:r>
        <w:rPr>
          <w:rFonts w:cs="Arial"/>
          <w:sz w:val="24"/>
          <w:szCs w:val="24"/>
        </w:rPr>
        <w:t>sc</w:t>
      </w:r>
      <w:proofErr w:type="spellEnd"/>
      <w:r w:rsidR="009C5538">
        <w:rPr>
          <w:rFonts w:cs="Arial"/>
          <w:sz w:val="24"/>
          <w:szCs w:val="24"/>
        </w:rPr>
        <w:t xml:space="preserve"> de forma </w:t>
      </w:r>
      <w:proofErr w:type="spellStart"/>
      <w:r w:rsidR="00604B98">
        <w:rPr>
          <w:rFonts w:cs="Arial"/>
          <w:sz w:val="24"/>
          <w:szCs w:val="24"/>
        </w:rPr>
        <w:t>preoperatoria</w:t>
      </w:r>
      <w:proofErr w:type="spellEnd"/>
      <w:r w:rsidR="00604B98">
        <w:rPr>
          <w:rFonts w:cs="Arial"/>
          <w:sz w:val="24"/>
          <w:szCs w:val="24"/>
        </w:rPr>
        <w:t xml:space="preserve"> </w:t>
      </w:r>
      <w:r w:rsidR="00A204E8">
        <w:rPr>
          <w:rFonts w:cs="Arial"/>
          <w:sz w:val="24"/>
          <w:szCs w:val="24"/>
        </w:rPr>
        <w:t xml:space="preserve">(no </w:t>
      </w:r>
      <w:proofErr w:type="spellStart"/>
      <w:r w:rsidR="00A204E8">
        <w:rPr>
          <w:rFonts w:cs="Arial"/>
          <w:sz w:val="24"/>
          <w:szCs w:val="24"/>
        </w:rPr>
        <w:t>terapia</w:t>
      </w:r>
      <w:proofErr w:type="spellEnd"/>
      <w:r w:rsidR="00A204E8">
        <w:rPr>
          <w:rFonts w:cs="Arial"/>
          <w:sz w:val="24"/>
          <w:szCs w:val="24"/>
        </w:rPr>
        <w:t xml:space="preserve"> </w:t>
      </w:r>
      <w:proofErr w:type="spellStart"/>
      <w:r w:rsidR="00A204E8">
        <w:rPr>
          <w:rFonts w:cs="Arial"/>
          <w:sz w:val="24"/>
          <w:szCs w:val="24"/>
        </w:rPr>
        <w:t>puente</w:t>
      </w:r>
      <w:proofErr w:type="spellEnd"/>
      <w:r w:rsidR="00A204E8">
        <w:rPr>
          <w:rFonts w:cs="Arial"/>
          <w:sz w:val="24"/>
          <w:szCs w:val="24"/>
        </w:rPr>
        <w:t xml:space="preserve">, no </w:t>
      </w:r>
      <w:r>
        <w:rPr>
          <w:rFonts w:cs="Arial"/>
          <w:sz w:val="24"/>
          <w:szCs w:val="24"/>
        </w:rPr>
        <w:t xml:space="preserve">dosis </w:t>
      </w:r>
      <w:proofErr w:type="spellStart"/>
      <w:r>
        <w:rPr>
          <w:rFonts w:cs="Arial"/>
          <w:sz w:val="24"/>
          <w:szCs w:val="24"/>
        </w:rPr>
        <w:t>profiláctica</w:t>
      </w:r>
      <w:proofErr w:type="spellEnd"/>
      <w:r w:rsidR="00A204E8">
        <w:rPr>
          <w:rFonts w:cs="Arial"/>
          <w:sz w:val="24"/>
          <w:szCs w:val="24"/>
        </w:rPr>
        <w:t>)</w:t>
      </w:r>
      <w:r w:rsidR="0096280C" w:rsidRPr="0096280C">
        <w:rPr>
          <w:rFonts w:cs="Arial"/>
          <w:sz w:val="24"/>
          <w:szCs w:val="24"/>
          <w:vertAlign w:val="superscript"/>
        </w:rPr>
        <w:t>5,9</w:t>
      </w:r>
      <w:r>
        <w:rPr>
          <w:rFonts w:cs="Arial"/>
          <w:sz w:val="24"/>
          <w:szCs w:val="24"/>
        </w:rPr>
        <w:t>. (</w:t>
      </w:r>
      <w:r w:rsidRPr="00F30AFD">
        <w:rPr>
          <w:rFonts w:cs="Arial"/>
        </w:rPr>
        <w:t>figura 4</w:t>
      </w:r>
      <w:r>
        <w:rPr>
          <w:rFonts w:cs="Arial"/>
          <w:sz w:val="24"/>
          <w:szCs w:val="24"/>
        </w:rPr>
        <w:t>)</w:t>
      </w:r>
    </w:p>
    <w:p w14:paraId="08AD8D74" w14:textId="77777777" w:rsidR="00F30AFD" w:rsidRDefault="00F30AFD" w:rsidP="00F30AFD">
      <w:pPr>
        <w:pStyle w:val="Textoindependiente"/>
        <w:rPr>
          <w:b/>
          <w:bCs/>
          <w:sz w:val="20"/>
          <w:szCs w:val="20"/>
        </w:rPr>
      </w:pPr>
    </w:p>
    <w:p w14:paraId="6F6512BD" w14:textId="4E46AED2" w:rsidR="00F30AFD" w:rsidRDefault="00F30AFD" w:rsidP="00F30AFD">
      <w:pPr>
        <w:pStyle w:val="Textoindependiente"/>
      </w:pPr>
      <w:r w:rsidRPr="00E87D83">
        <w:rPr>
          <w:b/>
          <w:bCs/>
          <w:sz w:val="20"/>
          <w:szCs w:val="20"/>
        </w:rPr>
        <w:t xml:space="preserve">Figura </w:t>
      </w:r>
      <w:r>
        <w:rPr>
          <w:b/>
          <w:bCs/>
          <w:sz w:val="20"/>
          <w:szCs w:val="20"/>
        </w:rPr>
        <w:t>4</w:t>
      </w:r>
      <w:r w:rsidRPr="00E87D83">
        <w:rPr>
          <w:b/>
          <w:bCs/>
          <w:sz w:val="20"/>
          <w:szCs w:val="20"/>
        </w:rPr>
        <w:t xml:space="preserve">. </w:t>
      </w:r>
      <w:r>
        <w:rPr>
          <w:b/>
          <w:bCs/>
          <w:sz w:val="20"/>
          <w:szCs w:val="20"/>
        </w:rPr>
        <w:t>Manejo perioperatorio ACOD en cirugía precoz (≤48h) de fractura de fémur</w:t>
      </w:r>
    </w:p>
    <w:p w14:paraId="1BA91723" w14:textId="40E96BFD" w:rsidR="00F30AFD" w:rsidRDefault="00F30AFD" w:rsidP="00EA3EE6">
      <w:pPr>
        <w:rPr>
          <w:rFonts w:cs="Arial"/>
          <w:sz w:val="24"/>
          <w:szCs w:val="24"/>
        </w:rPr>
      </w:pPr>
    </w:p>
    <w:p w14:paraId="49713C08" w14:textId="7E155D50" w:rsidR="009C5538" w:rsidRPr="009C5538" w:rsidRDefault="00F30AFD" w:rsidP="009C5538">
      <w:pPr>
        <w:jc w:val="center"/>
        <w:rPr>
          <w:rFonts w:cs="Arial"/>
          <w:sz w:val="24"/>
          <w:szCs w:val="24"/>
        </w:rPr>
      </w:pPr>
      <w:r>
        <w:rPr>
          <w:rFonts w:cs="Arial"/>
          <w:noProof/>
          <w:sz w:val="24"/>
          <w:szCs w:val="24"/>
          <w:lang w:val="es-ES"/>
        </w:rPr>
        <w:drawing>
          <wp:inline distT="0" distB="0" distL="0" distR="0" wp14:anchorId="0720695E" wp14:editId="0232C06F">
            <wp:extent cx="3759200" cy="24574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9200" cy="2457450"/>
                    </a:xfrm>
                    <a:prstGeom prst="rect">
                      <a:avLst/>
                    </a:prstGeom>
                    <a:noFill/>
                    <a:ln>
                      <a:noFill/>
                    </a:ln>
                  </pic:spPr>
                </pic:pic>
              </a:graphicData>
            </a:graphic>
          </wp:inline>
        </w:drawing>
      </w:r>
    </w:p>
    <w:p w14:paraId="6BCEE023" w14:textId="77777777" w:rsidR="00E86E78" w:rsidRDefault="00E86E78" w:rsidP="00E86E78">
      <w:pPr>
        <w:pStyle w:val="Textoindependiente"/>
      </w:pPr>
    </w:p>
    <w:p w14:paraId="7A798DAE" w14:textId="78AE6265" w:rsidR="00E86E78" w:rsidRDefault="00E86E78" w:rsidP="00E86E78">
      <w:pPr>
        <w:pStyle w:val="Textoindependiente"/>
      </w:pPr>
      <w:r>
        <w:t>Es importante recordar que la demora quirúrgica más allá de las primeras 48 horas debe ser la excepción y sólo es aceptable por optimización de patología médica.</w:t>
      </w:r>
    </w:p>
    <w:p w14:paraId="5501AB0F" w14:textId="77777777" w:rsidR="00E86E78" w:rsidRDefault="00E86E78" w:rsidP="00E86E78">
      <w:pPr>
        <w:pStyle w:val="Textoindependiente"/>
      </w:pPr>
    </w:p>
    <w:p w14:paraId="6480D4C7" w14:textId="5F611DEC" w:rsidR="00E86E78" w:rsidRDefault="00E86E78" w:rsidP="00E86E78">
      <w:pPr>
        <w:pStyle w:val="Textoindependiente"/>
      </w:pPr>
      <w:r>
        <w:t xml:space="preserve">La administración preoperatoria de HBPM </w:t>
      </w:r>
      <w:proofErr w:type="spellStart"/>
      <w:r>
        <w:t>sc</w:t>
      </w:r>
      <w:proofErr w:type="spellEnd"/>
      <w:r>
        <w:t xml:space="preserve"> </w:t>
      </w:r>
      <w:r w:rsidRPr="00EA3EE6">
        <w:t xml:space="preserve">sólo </w:t>
      </w:r>
      <w:r>
        <w:t xml:space="preserve">se consideraría, en el caso excepcional que la demora quirúrgica </w:t>
      </w:r>
      <w:r w:rsidR="00A72EB6">
        <w:t xml:space="preserve">supere </w:t>
      </w:r>
      <w:r>
        <w:t>el tiempo de eliminación del fármaco. (</w:t>
      </w:r>
      <w:r w:rsidRPr="008B63D6">
        <w:rPr>
          <w:sz w:val="22"/>
          <w:szCs w:val="22"/>
        </w:rPr>
        <w:t xml:space="preserve">figura </w:t>
      </w:r>
      <w:r>
        <w:rPr>
          <w:sz w:val="22"/>
          <w:szCs w:val="22"/>
        </w:rPr>
        <w:t>5</w:t>
      </w:r>
      <w:r>
        <w:t xml:space="preserve">). </w:t>
      </w:r>
    </w:p>
    <w:p w14:paraId="361F2951" w14:textId="77777777" w:rsidR="00E86E78" w:rsidRDefault="00E86E78" w:rsidP="00E86E78">
      <w:pPr>
        <w:pStyle w:val="Textoindependiente"/>
      </w:pPr>
    </w:p>
    <w:p w14:paraId="017E2F90" w14:textId="1777513D" w:rsidR="00E86E78" w:rsidRDefault="00E86E78" w:rsidP="00E86E78">
      <w:pPr>
        <w:pStyle w:val="Textoindependiente"/>
        <w:rPr>
          <w:b/>
          <w:bCs/>
          <w:sz w:val="20"/>
          <w:szCs w:val="20"/>
        </w:rPr>
      </w:pPr>
      <w:r w:rsidRPr="00E87D83">
        <w:rPr>
          <w:b/>
          <w:bCs/>
          <w:sz w:val="20"/>
          <w:szCs w:val="20"/>
        </w:rPr>
        <w:t xml:space="preserve">Figura </w:t>
      </w:r>
      <w:r>
        <w:rPr>
          <w:b/>
          <w:bCs/>
          <w:sz w:val="20"/>
          <w:szCs w:val="20"/>
        </w:rPr>
        <w:t>5</w:t>
      </w:r>
      <w:r w:rsidRPr="00E87D83">
        <w:rPr>
          <w:b/>
          <w:bCs/>
          <w:sz w:val="20"/>
          <w:szCs w:val="20"/>
        </w:rPr>
        <w:t xml:space="preserve">. </w:t>
      </w:r>
      <w:r>
        <w:rPr>
          <w:b/>
          <w:bCs/>
          <w:sz w:val="20"/>
          <w:szCs w:val="20"/>
        </w:rPr>
        <w:t>Tiempo eliminación de ACOD</w:t>
      </w:r>
    </w:p>
    <w:p w14:paraId="4DDFA24F" w14:textId="41DF8D42" w:rsidR="00A72EB6" w:rsidRDefault="00A72EB6" w:rsidP="00A72EB6">
      <w:pPr>
        <w:pStyle w:val="Textoindependiente"/>
        <w:jc w:val="center"/>
      </w:pPr>
      <w:r>
        <w:rPr>
          <w:noProof/>
        </w:rPr>
        <w:drawing>
          <wp:inline distT="0" distB="0" distL="0" distR="0" wp14:anchorId="3FB603AF" wp14:editId="799AC75F">
            <wp:extent cx="4178300" cy="18478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8300" cy="1847850"/>
                    </a:xfrm>
                    <a:prstGeom prst="rect">
                      <a:avLst/>
                    </a:prstGeom>
                    <a:noFill/>
                    <a:ln>
                      <a:noFill/>
                    </a:ln>
                  </pic:spPr>
                </pic:pic>
              </a:graphicData>
            </a:graphic>
          </wp:inline>
        </w:drawing>
      </w:r>
    </w:p>
    <w:p w14:paraId="4D36CCFE" w14:textId="77777777" w:rsidR="00E86E78" w:rsidRDefault="00E86E78" w:rsidP="00EA3EE6">
      <w:pPr>
        <w:rPr>
          <w:sz w:val="24"/>
          <w:szCs w:val="24"/>
        </w:rPr>
      </w:pPr>
    </w:p>
    <w:p w14:paraId="18CAAD9B" w14:textId="476632A7" w:rsidR="00BE5AFB" w:rsidRPr="0042408A" w:rsidRDefault="00BE5AFB" w:rsidP="00EA3EE6">
      <w:pPr>
        <w:rPr>
          <w:sz w:val="24"/>
          <w:szCs w:val="24"/>
        </w:rPr>
      </w:pPr>
      <w:r w:rsidRPr="0042408A">
        <w:rPr>
          <w:sz w:val="24"/>
          <w:szCs w:val="24"/>
        </w:rPr>
        <w:t xml:space="preserve">Igual que en </w:t>
      </w:r>
      <w:r w:rsidR="0042408A" w:rsidRPr="0042408A">
        <w:rPr>
          <w:sz w:val="24"/>
          <w:szCs w:val="24"/>
        </w:rPr>
        <w:t xml:space="preserve">el caso de los AVK, la HBPM a dosis </w:t>
      </w:r>
      <w:proofErr w:type="spellStart"/>
      <w:r w:rsidR="0042408A" w:rsidRPr="0042408A">
        <w:rPr>
          <w:sz w:val="24"/>
          <w:szCs w:val="24"/>
        </w:rPr>
        <w:t>anticoagulante</w:t>
      </w:r>
      <w:proofErr w:type="spellEnd"/>
      <w:r w:rsidR="0042408A" w:rsidRPr="0042408A">
        <w:rPr>
          <w:sz w:val="24"/>
          <w:szCs w:val="24"/>
        </w:rPr>
        <w:t xml:space="preserve"> </w:t>
      </w:r>
      <w:proofErr w:type="spellStart"/>
      <w:r w:rsidR="0042408A" w:rsidRPr="0042408A">
        <w:rPr>
          <w:sz w:val="24"/>
          <w:szCs w:val="24"/>
        </w:rPr>
        <w:t>sólo</w:t>
      </w:r>
      <w:proofErr w:type="spellEnd"/>
      <w:r w:rsidR="0042408A" w:rsidRPr="0042408A">
        <w:rPr>
          <w:sz w:val="24"/>
          <w:szCs w:val="24"/>
        </w:rPr>
        <w:t xml:space="preserve"> se </w:t>
      </w:r>
      <w:proofErr w:type="spellStart"/>
      <w:r w:rsidR="0042408A" w:rsidRPr="0042408A">
        <w:rPr>
          <w:sz w:val="24"/>
          <w:szCs w:val="24"/>
        </w:rPr>
        <w:t>recomienda</w:t>
      </w:r>
      <w:proofErr w:type="spellEnd"/>
      <w:r w:rsidR="0042408A" w:rsidRPr="0042408A">
        <w:rPr>
          <w:sz w:val="24"/>
          <w:szCs w:val="24"/>
        </w:rPr>
        <w:t xml:space="preserve"> en </w:t>
      </w:r>
      <w:proofErr w:type="spellStart"/>
      <w:r w:rsidR="0042408A" w:rsidRPr="0042408A">
        <w:rPr>
          <w:sz w:val="24"/>
          <w:szCs w:val="24"/>
        </w:rPr>
        <w:t>pacientes</w:t>
      </w:r>
      <w:proofErr w:type="spellEnd"/>
      <w:r w:rsidR="0042408A" w:rsidRPr="0042408A">
        <w:rPr>
          <w:sz w:val="24"/>
          <w:szCs w:val="24"/>
        </w:rPr>
        <w:t xml:space="preserve"> con </w:t>
      </w:r>
      <w:proofErr w:type="spellStart"/>
      <w:r w:rsidR="0042408A" w:rsidRPr="0042408A">
        <w:rPr>
          <w:sz w:val="24"/>
          <w:szCs w:val="24"/>
        </w:rPr>
        <w:t>riesgo</w:t>
      </w:r>
      <w:proofErr w:type="spellEnd"/>
      <w:r w:rsidR="0042408A" w:rsidRPr="0042408A">
        <w:rPr>
          <w:sz w:val="24"/>
          <w:szCs w:val="24"/>
        </w:rPr>
        <w:t xml:space="preserve"> </w:t>
      </w:r>
      <w:proofErr w:type="spellStart"/>
      <w:r w:rsidR="0042408A" w:rsidRPr="0042408A">
        <w:rPr>
          <w:sz w:val="24"/>
          <w:szCs w:val="24"/>
        </w:rPr>
        <w:t>tromboembólico</w:t>
      </w:r>
      <w:proofErr w:type="spellEnd"/>
      <w:r w:rsidR="0042408A" w:rsidRPr="0042408A">
        <w:rPr>
          <w:sz w:val="24"/>
          <w:szCs w:val="24"/>
        </w:rPr>
        <w:t xml:space="preserve"> alto</w:t>
      </w:r>
      <w:r w:rsidR="0042408A" w:rsidRPr="0042408A">
        <w:rPr>
          <w:sz w:val="24"/>
          <w:szCs w:val="24"/>
          <w:vertAlign w:val="superscript"/>
        </w:rPr>
        <w:t>6,9</w:t>
      </w:r>
      <w:r w:rsidR="0042408A">
        <w:rPr>
          <w:sz w:val="24"/>
          <w:szCs w:val="24"/>
        </w:rPr>
        <w:t xml:space="preserve">. El </w:t>
      </w:r>
      <w:proofErr w:type="spellStart"/>
      <w:r w:rsidR="0042408A">
        <w:rPr>
          <w:sz w:val="24"/>
          <w:szCs w:val="24"/>
        </w:rPr>
        <w:t>intervalo</w:t>
      </w:r>
      <w:proofErr w:type="spellEnd"/>
      <w:r w:rsidR="0042408A">
        <w:rPr>
          <w:sz w:val="24"/>
          <w:szCs w:val="24"/>
        </w:rPr>
        <w:t xml:space="preserve"> de </w:t>
      </w:r>
      <w:proofErr w:type="spellStart"/>
      <w:r w:rsidR="0042408A">
        <w:rPr>
          <w:sz w:val="24"/>
          <w:szCs w:val="24"/>
        </w:rPr>
        <w:t>seguridad</w:t>
      </w:r>
      <w:proofErr w:type="spellEnd"/>
      <w:r w:rsidR="0042408A">
        <w:rPr>
          <w:sz w:val="24"/>
          <w:szCs w:val="24"/>
        </w:rPr>
        <w:t xml:space="preserve"> entre la HBPM </w:t>
      </w:r>
      <w:proofErr w:type="spellStart"/>
      <w:r w:rsidR="0042408A">
        <w:rPr>
          <w:sz w:val="24"/>
          <w:szCs w:val="24"/>
        </w:rPr>
        <w:lastRenderedPageBreak/>
        <w:t>sc</w:t>
      </w:r>
      <w:proofErr w:type="spellEnd"/>
      <w:r w:rsidR="0042408A">
        <w:rPr>
          <w:sz w:val="24"/>
          <w:szCs w:val="24"/>
        </w:rPr>
        <w:t xml:space="preserve"> y la </w:t>
      </w:r>
      <w:proofErr w:type="spellStart"/>
      <w:r w:rsidR="0042408A">
        <w:rPr>
          <w:sz w:val="24"/>
          <w:szCs w:val="24"/>
        </w:rPr>
        <w:t>cirugía</w:t>
      </w:r>
      <w:proofErr w:type="spellEnd"/>
      <w:r w:rsidR="0042408A">
        <w:rPr>
          <w:sz w:val="24"/>
          <w:szCs w:val="24"/>
        </w:rPr>
        <w:t xml:space="preserve">, </w:t>
      </w:r>
      <w:proofErr w:type="spellStart"/>
      <w:r w:rsidR="0042408A">
        <w:rPr>
          <w:sz w:val="24"/>
          <w:szCs w:val="24"/>
        </w:rPr>
        <w:t>debe</w:t>
      </w:r>
      <w:proofErr w:type="spellEnd"/>
      <w:r w:rsidR="0042408A">
        <w:rPr>
          <w:sz w:val="24"/>
          <w:szCs w:val="24"/>
        </w:rPr>
        <w:t xml:space="preserve"> ser de al </w:t>
      </w:r>
      <w:proofErr w:type="spellStart"/>
      <w:r w:rsidR="0042408A">
        <w:rPr>
          <w:sz w:val="24"/>
          <w:szCs w:val="24"/>
        </w:rPr>
        <w:t>menos</w:t>
      </w:r>
      <w:proofErr w:type="spellEnd"/>
      <w:r w:rsidR="0042408A">
        <w:rPr>
          <w:sz w:val="24"/>
          <w:szCs w:val="24"/>
        </w:rPr>
        <w:t xml:space="preserve"> 12h para dosis </w:t>
      </w:r>
      <w:proofErr w:type="spellStart"/>
      <w:r w:rsidR="0042408A">
        <w:rPr>
          <w:sz w:val="24"/>
          <w:szCs w:val="24"/>
        </w:rPr>
        <w:t>profiláctica</w:t>
      </w:r>
      <w:proofErr w:type="spellEnd"/>
      <w:r w:rsidR="0042408A">
        <w:rPr>
          <w:sz w:val="24"/>
          <w:szCs w:val="24"/>
        </w:rPr>
        <w:t xml:space="preserve"> y 24h para dosis terapèutica.</w:t>
      </w:r>
    </w:p>
    <w:p w14:paraId="7A7FC4D3" w14:textId="77777777" w:rsidR="00BE5AFB" w:rsidRDefault="00BE5AFB" w:rsidP="00EA3EE6">
      <w:pPr>
        <w:rPr>
          <w:sz w:val="24"/>
          <w:szCs w:val="24"/>
        </w:rPr>
      </w:pPr>
    </w:p>
    <w:p w14:paraId="605FB552" w14:textId="3272D5C5" w:rsidR="00EA3EE6" w:rsidRDefault="00EA3EE6" w:rsidP="00EA3EE6">
      <w:pPr>
        <w:rPr>
          <w:sz w:val="24"/>
          <w:szCs w:val="24"/>
        </w:rPr>
      </w:pPr>
      <w:r w:rsidRPr="00EA3EE6">
        <w:rPr>
          <w:sz w:val="24"/>
          <w:szCs w:val="24"/>
        </w:rPr>
        <w:t xml:space="preserve">La literatura no avala la </w:t>
      </w:r>
      <w:proofErr w:type="spellStart"/>
      <w:r w:rsidRPr="00EA3EE6">
        <w:rPr>
          <w:sz w:val="24"/>
          <w:szCs w:val="24"/>
        </w:rPr>
        <w:t>reversión</w:t>
      </w:r>
      <w:proofErr w:type="spellEnd"/>
      <w:r w:rsidRPr="00EA3EE6">
        <w:rPr>
          <w:sz w:val="24"/>
          <w:szCs w:val="24"/>
        </w:rPr>
        <w:t xml:space="preserve"> de los ACOD de forma </w:t>
      </w:r>
      <w:proofErr w:type="spellStart"/>
      <w:r w:rsidRPr="00EA3EE6">
        <w:rPr>
          <w:sz w:val="24"/>
          <w:szCs w:val="24"/>
        </w:rPr>
        <w:t>profiláctica</w:t>
      </w:r>
      <w:proofErr w:type="spellEnd"/>
      <w:r w:rsidRPr="00EA3EE6">
        <w:rPr>
          <w:sz w:val="24"/>
          <w:szCs w:val="24"/>
        </w:rPr>
        <w:t xml:space="preserve">, </w:t>
      </w:r>
      <w:proofErr w:type="spellStart"/>
      <w:r w:rsidRPr="00EA3EE6">
        <w:rPr>
          <w:sz w:val="24"/>
          <w:szCs w:val="24"/>
        </w:rPr>
        <w:t>sólo</w:t>
      </w:r>
      <w:proofErr w:type="spellEnd"/>
      <w:r w:rsidRPr="00EA3EE6">
        <w:rPr>
          <w:sz w:val="24"/>
          <w:szCs w:val="24"/>
        </w:rPr>
        <w:t xml:space="preserve"> </w:t>
      </w:r>
      <w:r w:rsidR="00625360">
        <w:rPr>
          <w:sz w:val="24"/>
          <w:szCs w:val="24"/>
        </w:rPr>
        <w:t xml:space="preserve">la </w:t>
      </w:r>
      <w:proofErr w:type="spellStart"/>
      <w:r w:rsidR="00625360">
        <w:rPr>
          <w:sz w:val="24"/>
          <w:szCs w:val="24"/>
        </w:rPr>
        <w:t>reversión</w:t>
      </w:r>
      <w:proofErr w:type="spellEnd"/>
      <w:r w:rsidRPr="00EA3EE6">
        <w:rPr>
          <w:sz w:val="24"/>
          <w:szCs w:val="24"/>
        </w:rPr>
        <w:t xml:space="preserve"> en caso de </w:t>
      </w:r>
      <w:proofErr w:type="spellStart"/>
      <w:r w:rsidRPr="00EA3EE6">
        <w:rPr>
          <w:sz w:val="24"/>
          <w:szCs w:val="24"/>
        </w:rPr>
        <w:t>sangrado</w:t>
      </w:r>
      <w:proofErr w:type="spellEnd"/>
      <w:r w:rsidRPr="00EA3EE6">
        <w:rPr>
          <w:sz w:val="24"/>
          <w:szCs w:val="24"/>
        </w:rPr>
        <w:t xml:space="preserve"> no </w:t>
      </w:r>
      <w:proofErr w:type="spellStart"/>
      <w:r w:rsidRPr="00EA3EE6">
        <w:rPr>
          <w:sz w:val="24"/>
          <w:szCs w:val="24"/>
        </w:rPr>
        <w:t>controlado</w:t>
      </w:r>
      <w:proofErr w:type="spellEnd"/>
      <w:r w:rsidR="007D5F25">
        <w:rPr>
          <w:sz w:val="24"/>
          <w:szCs w:val="24"/>
        </w:rPr>
        <w:t xml:space="preserve">, con </w:t>
      </w:r>
      <w:proofErr w:type="spellStart"/>
      <w:r w:rsidR="007D5F25">
        <w:rPr>
          <w:sz w:val="24"/>
          <w:szCs w:val="24"/>
        </w:rPr>
        <w:t>riesgo</w:t>
      </w:r>
      <w:proofErr w:type="spellEnd"/>
      <w:r w:rsidR="007D5F25">
        <w:rPr>
          <w:sz w:val="24"/>
          <w:szCs w:val="24"/>
        </w:rPr>
        <w:t xml:space="preserve"> vital</w:t>
      </w:r>
      <w:r w:rsidRPr="00EA3EE6">
        <w:rPr>
          <w:sz w:val="24"/>
          <w:szCs w:val="24"/>
        </w:rPr>
        <w:t xml:space="preserve"> o </w:t>
      </w:r>
      <w:proofErr w:type="spellStart"/>
      <w:r w:rsidRPr="00EA3EE6">
        <w:rPr>
          <w:sz w:val="24"/>
          <w:szCs w:val="24"/>
        </w:rPr>
        <w:t>hemorragia</w:t>
      </w:r>
      <w:proofErr w:type="spellEnd"/>
      <w:r w:rsidRPr="00EA3EE6">
        <w:rPr>
          <w:sz w:val="24"/>
          <w:szCs w:val="24"/>
        </w:rPr>
        <w:t xml:space="preserve"> microvascular</w:t>
      </w:r>
      <w:r w:rsidRPr="00EA3EE6">
        <w:rPr>
          <w:sz w:val="24"/>
          <w:szCs w:val="24"/>
          <w:vertAlign w:val="superscript"/>
        </w:rPr>
        <w:t>32,33</w:t>
      </w:r>
      <w:r w:rsidRPr="00EA3EE6">
        <w:rPr>
          <w:sz w:val="24"/>
          <w:szCs w:val="24"/>
        </w:rPr>
        <w:t xml:space="preserve">. En el caso de </w:t>
      </w:r>
      <w:proofErr w:type="spellStart"/>
      <w:r w:rsidRPr="00EA3EE6">
        <w:rPr>
          <w:sz w:val="24"/>
          <w:szCs w:val="24"/>
        </w:rPr>
        <w:t>dabigatran</w:t>
      </w:r>
      <w:proofErr w:type="spellEnd"/>
      <w:r w:rsidRPr="00EA3EE6">
        <w:rPr>
          <w:sz w:val="24"/>
          <w:szCs w:val="24"/>
        </w:rPr>
        <w:t xml:space="preserve">, la </w:t>
      </w:r>
      <w:proofErr w:type="spellStart"/>
      <w:r w:rsidRPr="00EA3EE6">
        <w:rPr>
          <w:sz w:val="24"/>
          <w:szCs w:val="24"/>
        </w:rPr>
        <w:t>reversión</w:t>
      </w:r>
      <w:proofErr w:type="spellEnd"/>
      <w:r w:rsidRPr="00EA3EE6">
        <w:rPr>
          <w:sz w:val="24"/>
          <w:szCs w:val="24"/>
        </w:rPr>
        <w:t xml:space="preserve"> se </w:t>
      </w:r>
      <w:proofErr w:type="spellStart"/>
      <w:r w:rsidRPr="00EA3EE6">
        <w:rPr>
          <w:sz w:val="24"/>
          <w:szCs w:val="24"/>
        </w:rPr>
        <w:t>realizará</w:t>
      </w:r>
      <w:proofErr w:type="spellEnd"/>
      <w:r w:rsidRPr="00EA3EE6">
        <w:rPr>
          <w:sz w:val="24"/>
          <w:szCs w:val="24"/>
        </w:rPr>
        <w:t xml:space="preserve"> con </w:t>
      </w:r>
      <w:proofErr w:type="spellStart"/>
      <w:r w:rsidRPr="00EA3EE6">
        <w:rPr>
          <w:sz w:val="24"/>
          <w:szCs w:val="24"/>
        </w:rPr>
        <w:t>idarucizumab</w:t>
      </w:r>
      <w:proofErr w:type="spellEnd"/>
      <w:r w:rsidR="002127BE">
        <w:rPr>
          <w:sz w:val="24"/>
          <w:szCs w:val="24"/>
        </w:rPr>
        <w:t xml:space="preserve"> (</w:t>
      </w:r>
      <w:proofErr w:type="spellStart"/>
      <w:r w:rsidR="002127BE">
        <w:rPr>
          <w:sz w:val="24"/>
          <w:szCs w:val="24"/>
        </w:rPr>
        <w:t>Praxbind</w:t>
      </w:r>
      <w:proofErr w:type="spellEnd"/>
      <w:r w:rsidR="002127BE">
        <w:rPr>
          <w:rFonts w:cs="Arial"/>
          <w:sz w:val="24"/>
          <w:szCs w:val="24"/>
        </w:rPr>
        <w:t>®</w:t>
      </w:r>
      <w:r w:rsidR="002127BE">
        <w:rPr>
          <w:sz w:val="24"/>
          <w:szCs w:val="24"/>
        </w:rPr>
        <w:t>)</w:t>
      </w:r>
      <w:r w:rsidRPr="00EA3EE6">
        <w:rPr>
          <w:sz w:val="24"/>
          <w:szCs w:val="24"/>
          <w:vertAlign w:val="superscript"/>
        </w:rPr>
        <w:t>9</w:t>
      </w:r>
      <w:r w:rsidR="0064110C">
        <w:rPr>
          <w:sz w:val="24"/>
          <w:szCs w:val="24"/>
        </w:rPr>
        <w:t xml:space="preserve">. </w:t>
      </w:r>
      <w:r w:rsidRPr="00EA3EE6">
        <w:rPr>
          <w:sz w:val="24"/>
          <w:szCs w:val="24"/>
        </w:rPr>
        <w:t xml:space="preserve">Para </w:t>
      </w:r>
      <w:proofErr w:type="spellStart"/>
      <w:r w:rsidRPr="00EA3EE6">
        <w:rPr>
          <w:sz w:val="24"/>
          <w:szCs w:val="24"/>
        </w:rPr>
        <w:t>apixabán</w:t>
      </w:r>
      <w:proofErr w:type="spellEnd"/>
      <w:r w:rsidRPr="00EA3EE6">
        <w:rPr>
          <w:sz w:val="24"/>
          <w:szCs w:val="24"/>
        </w:rPr>
        <w:t xml:space="preserve">, </w:t>
      </w:r>
      <w:proofErr w:type="spellStart"/>
      <w:r w:rsidRPr="00EA3EE6">
        <w:rPr>
          <w:sz w:val="24"/>
          <w:szCs w:val="24"/>
        </w:rPr>
        <w:t>edoxabán</w:t>
      </w:r>
      <w:proofErr w:type="spellEnd"/>
      <w:r w:rsidRPr="00EA3EE6">
        <w:rPr>
          <w:sz w:val="24"/>
          <w:szCs w:val="24"/>
        </w:rPr>
        <w:t xml:space="preserve"> y </w:t>
      </w:r>
      <w:proofErr w:type="spellStart"/>
      <w:r w:rsidRPr="00EA3EE6">
        <w:rPr>
          <w:sz w:val="24"/>
          <w:szCs w:val="24"/>
        </w:rPr>
        <w:t>rivaroxabán</w:t>
      </w:r>
      <w:proofErr w:type="spellEnd"/>
      <w:r w:rsidRPr="00EA3EE6">
        <w:rPr>
          <w:sz w:val="24"/>
          <w:szCs w:val="24"/>
        </w:rPr>
        <w:t xml:space="preserve">, a </w:t>
      </w:r>
      <w:proofErr w:type="spellStart"/>
      <w:r w:rsidRPr="00EA3EE6">
        <w:rPr>
          <w:sz w:val="24"/>
          <w:szCs w:val="24"/>
        </w:rPr>
        <w:t>día</w:t>
      </w:r>
      <w:proofErr w:type="spellEnd"/>
      <w:r w:rsidRPr="00EA3EE6">
        <w:rPr>
          <w:sz w:val="24"/>
          <w:szCs w:val="24"/>
        </w:rPr>
        <w:t xml:space="preserve"> de </w:t>
      </w:r>
      <w:proofErr w:type="spellStart"/>
      <w:r w:rsidRPr="00EA3EE6">
        <w:rPr>
          <w:sz w:val="24"/>
          <w:szCs w:val="24"/>
        </w:rPr>
        <w:t>hoy</w:t>
      </w:r>
      <w:proofErr w:type="spellEnd"/>
      <w:r w:rsidRPr="00EA3EE6">
        <w:rPr>
          <w:sz w:val="24"/>
          <w:szCs w:val="24"/>
        </w:rPr>
        <w:t xml:space="preserve"> no </w:t>
      </w:r>
      <w:proofErr w:type="spellStart"/>
      <w:r w:rsidRPr="00EA3EE6">
        <w:rPr>
          <w:sz w:val="24"/>
          <w:szCs w:val="24"/>
        </w:rPr>
        <w:t>hay</w:t>
      </w:r>
      <w:proofErr w:type="spellEnd"/>
      <w:r w:rsidRPr="00EA3EE6">
        <w:rPr>
          <w:sz w:val="24"/>
          <w:szCs w:val="24"/>
        </w:rPr>
        <w:t xml:space="preserve"> un </w:t>
      </w:r>
      <w:proofErr w:type="spellStart"/>
      <w:r w:rsidRPr="00EA3EE6">
        <w:rPr>
          <w:sz w:val="24"/>
          <w:szCs w:val="24"/>
        </w:rPr>
        <w:t>antídoto</w:t>
      </w:r>
      <w:proofErr w:type="spellEnd"/>
      <w:r w:rsidRPr="00EA3EE6">
        <w:rPr>
          <w:sz w:val="24"/>
          <w:szCs w:val="24"/>
        </w:rPr>
        <w:t xml:space="preserve"> </w:t>
      </w:r>
      <w:proofErr w:type="spellStart"/>
      <w:r w:rsidRPr="00EA3EE6">
        <w:rPr>
          <w:sz w:val="24"/>
          <w:szCs w:val="24"/>
        </w:rPr>
        <w:t>comercializado</w:t>
      </w:r>
      <w:proofErr w:type="spellEnd"/>
      <w:r w:rsidRPr="00EA3EE6">
        <w:rPr>
          <w:sz w:val="24"/>
          <w:szCs w:val="24"/>
        </w:rPr>
        <w:t xml:space="preserve">, por lo que para revertir se </w:t>
      </w:r>
      <w:proofErr w:type="spellStart"/>
      <w:r w:rsidRPr="00EA3EE6">
        <w:rPr>
          <w:sz w:val="24"/>
          <w:szCs w:val="24"/>
        </w:rPr>
        <w:t>dispone</w:t>
      </w:r>
      <w:proofErr w:type="spellEnd"/>
      <w:r w:rsidRPr="00EA3EE6">
        <w:rPr>
          <w:sz w:val="24"/>
          <w:szCs w:val="24"/>
        </w:rPr>
        <w:t xml:space="preserve"> de </w:t>
      </w:r>
      <w:proofErr w:type="spellStart"/>
      <w:r w:rsidRPr="00EA3EE6">
        <w:rPr>
          <w:sz w:val="24"/>
          <w:szCs w:val="24"/>
        </w:rPr>
        <w:t>complejo</w:t>
      </w:r>
      <w:proofErr w:type="spellEnd"/>
      <w:r w:rsidRPr="00EA3EE6">
        <w:rPr>
          <w:sz w:val="24"/>
          <w:szCs w:val="24"/>
        </w:rPr>
        <w:t xml:space="preserve"> </w:t>
      </w:r>
      <w:proofErr w:type="spellStart"/>
      <w:r w:rsidRPr="00EA3EE6">
        <w:rPr>
          <w:sz w:val="24"/>
          <w:szCs w:val="24"/>
        </w:rPr>
        <w:t>protrombínico</w:t>
      </w:r>
      <w:proofErr w:type="spellEnd"/>
      <w:r w:rsidRPr="00EA3EE6">
        <w:rPr>
          <w:sz w:val="24"/>
          <w:szCs w:val="24"/>
        </w:rPr>
        <w:t xml:space="preserve"> (25-50UI/Kg)</w:t>
      </w:r>
      <w:r w:rsidRPr="00EA3EE6">
        <w:rPr>
          <w:sz w:val="24"/>
          <w:szCs w:val="24"/>
          <w:vertAlign w:val="superscript"/>
        </w:rPr>
        <w:t>2,5,9</w:t>
      </w:r>
      <w:r w:rsidRPr="00EA3EE6">
        <w:rPr>
          <w:sz w:val="24"/>
          <w:szCs w:val="24"/>
        </w:rPr>
        <w:t>.</w:t>
      </w:r>
      <w:r w:rsidR="0064110C">
        <w:rPr>
          <w:sz w:val="24"/>
          <w:szCs w:val="24"/>
        </w:rPr>
        <w:t>(</w:t>
      </w:r>
      <w:r w:rsidR="0064110C" w:rsidRPr="0064110C">
        <w:t>figura 5</w:t>
      </w:r>
      <w:r w:rsidR="0064110C">
        <w:rPr>
          <w:sz w:val="24"/>
          <w:szCs w:val="24"/>
        </w:rPr>
        <w:t>)</w:t>
      </w:r>
    </w:p>
    <w:p w14:paraId="4D7B56DE" w14:textId="0FC05B97" w:rsidR="0064110C" w:rsidRDefault="0064110C" w:rsidP="00EA3EE6">
      <w:pPr>
        <w:rPr>
          <w:sz w:val="24"/>
          <w:szCs w:val="24"/>
        </w:rPr>
      </w:pPr>
    </w:p>
    <w:p w14:paraId="7F1B7D54" w14:textId="20567488" w:rsidR="0064110C" w:rsidRDefault="0064110C" w:rsidP="0064110C">
      <w:pPr>
        <w:pStyle w:val="Textoindependiente"/>
        <w:rPr>
          <w:b/>
          <w:bCs/>
          <w:sz w:val="20"/>
          <w:szCs w:val="20"/>
        </w:rPr>
      </w:pPr>
      <w:r w:rsidRPr="00E87D83">
        <w:rPr>
          <w:b/>
          <w:bCs/>
          <w:sz w:val="20"/>
          <w:szCs w:val="20"/>
        </w:rPr>
        <w:t xml:space="preserve">Figura </w:t>
      </w:r>
      <w:r>
        <w:rPr>
          <w:b/>
          <w:bCs/>
          <w:sz w:val="20"/>
          <w:szCs w:val="20"/>
        </w:rPr>
        <w:t>5</w:t>
      </w:r>
      <w:r w:rsidRPr="00E87D83">
        <w:rPr>
          <w:b/>
          <w:bCs/>
          <w:sz w:val="20"/>
          <w:szCs w:val="20"/>
        </w:rPr>
        <w:t xml:space="preserve">. Actuación ante hemorragia relacionada con </w:t>
      </w:r>
      <w:r>
        <w:rPr>
          <w:b/>
          <w:bCs/>
          <w:sz w:val="20"/>
          <w:szCs w:val="20"/>
        </w:rPr>
        <w:t>ACOD en cirugía urgente de fractura de fémur</w:t>
      </w:r>
      <w:r w:rsidRPr="00E87D83">
        <w:rPr>
          <w:b/>
          <w:bCs/>
          <w:sz w:val="20"/>
          <w:szCs w:val="20"/>
        </w:rPr>
        <w:t>.</w:t>
      </w:r>
    </w:p>
    <w:p w14:paraId="61867AA2" w14:textId="02CE3F33" w:rsidR="0064110C" w:rsidRDefault="00720B67" w:rsidP="00720B67">
      <w:pPr>
        <w:jc w:val="center"/>
        <w:rPr>
          <w:sz w:val="24"/>
          <w:szCs w:val="24"/>
        </w:rPr>
      </w:pPr>
      <w:r>
        <w:rPr>
          <w:noProof/>
          <w:sz w:val="24"/>
          <w:szCs w:val="24"/>
          <w:lang w:val="es-ES"/>
        </w:rPr>
        <w:drawing>
          <wp:inline distT="0" distB="0" distL="0" distR="0" wp14:anchorId="322AA4B3" wp14:editId="64CB38D2">
            <wp:extent cx="1828800" cy="25273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2527300"/>
                    </a:xfrm>
                    <a:prstGeom prst="rect">
                      <a:avLst/>
                    </a:prstGeom>
                    <a:noFill/>
                    <a:ln>
                      <a:noFill/>
                    </a:ln>
                  </pic:spPr>
                </pic:pic>
              </a:graphicData>
            </a:graphic>
          </wp:inline>
        </w:drawing>
      </w:r>
    </w:p>
    <w:p w14:paraId="3D5B2C51" w14:textId="77777777" w:rsidR="00720B67" w:rsidRDefault="00720B67" w:rsidP="00720B67">
      <w:pPr>
        <w:jc w:val="center"/>
        <w:rPr>
          <w:sz w:val="24"/>
          <w:szCs w:val="24"/>
        </w:rPr>
      </w:pPr>
    </w:p>
    <w:p w14:paraId="6AEC0A3F" w14:textId="77777777" w:rsidR="00BE7A8C" w:rsidRPr="00EA3EE6" w:rsidRDefault="00BE7A8C" w:rsidP="00EA3EE6">
      <w:pPr>
        <w:rPr>
          <w:sz w:val="24"/>
          <w:szCs w:val="24"/>
        </w:rPr>
      </w:pPr>
    </w:p>
    <w:p w14:paraId="153FB84A" w14:textId="0C7E58FE" w:rsidR="00BE7A8C" w:rsidRPr="00BE7A8C" w:rsidRDefault="00BE7A8C" w:rsidP="00BE7A8C">
      <w:pPr>
        <w:pStyle w:val="Prrafodelista"/>
        <w:numPr>
          <w:ilvl w:val="1"/>
          <w:numId w:val="10"/>
        </w:numPr>
        <w:rPr>
          <w:b/>
          <w:bCs/>
          <w:sz w:val="24"/>
          <w:szCs w:val="24"/>
        </w:rPr>
      </w:pPr>
      <w:r w:rsidRPr="00BE7A8C">
        <w:rPr>
          <w:b/>
          <w:bCs/>
          <w:sz w:val="24"/>
          <w:szCs w:val="24"/>
        </w:rPr>
        <w:t>REINTRODUCCIÓN POSTOPERATORIA DE LA MEDICACIÓN ANTITROMBÓTICA</w:t>
      </w:r>
    </w:p>
    <w:p w14:paraId="6628BAB3" w14:textId="77777777" w:rsidR="00BE7A8C" w:rsidRPr="00BE7A8C" w:rsidRDefault="00BE7A8C" w:rsidP="00BE7A8C">
      <w:pPr>
        <w:pStyle w:val="Prrafodelista"/>
        <w:ind w:left="1080"/>
        <w:rPr>
          <w:b/>
          <w:bCs/>
          <w:sz w:val="24"/>
          <w:szCs w:val="24"/>
        </w:rPr>
      </w:pPr>
    </w:p>
    <w:p w14:paraId="488DAF19" w14:textId="02FDAD9F" w:rsidR="00BE7A8C" w:rsidRDefault="00BE7A8C" w:rsidP="00BE7A8C">
      <w:pPr>
        <w:pStyle w:val="Prrafodelista"/>
        <w:numPr>
          <w:ilvl w:val="2"/>
          <w:numId w:val="10"/>
        </w:numPr>
        <w:rPr>
          <w:b/>
          <w:bCs/>
          <w:sz w:val="24"/>
          <w:szCs w:val="24"/>
        </w:rPr>
      </w:pPr>
      <w:r w:rsidRPr="00BE7A8C">
        <w:rPr>
          <w:b/>
          <w:bCs/>
          <w:sz w:val="24"/>
          <w:szCs w:val="24"/>
        </w:rPr>
        <w:t xml:space="preserve"> </w:t>
      </w:r>
      <w:proofErr w:type="spellStart"/>
      <w:r w:rsidRPr="00BE7A8C">
        <w:rPr>
          <w:b/>
          <w:bCs/>
          <w:sz w:val="24"/>
          <w:szCs w:val="24"/>
        </w:rPr>
        <w:t>Reintroducción</w:t>
      </w:r>
      <w:proofErr w:type="spellEnd"/>
      <w:r w:rsidRPr="00BE7A8C">
        <w:rPr>
          <w:b/>
          <w:bCs/>
          <w:sz w:val="24"/>
          <w:szCs w:val="24"/>
        </w:rPr>
        <w:t xml:space="preserve"> del </w:t>
      </w:r>
      <w:proofErr w:type="spellStart"/>
      <w:r w:rsidRPr="00BE7A8C">
        <w:rPr>
          <w:b/>
          <w:bCs/>
          <w:sz w:val="24"/>
          <w:szCs w:val="24"/>
        </w:rPr>
        <w:t>tratamiento</w:t>
      </w:r>
      <w:proofErr w:type="spellEnd"/>
      <w:r w:rsidRPr="00BE7A8C">
        <w:rPr>
          <w:b/>
          <w:bCs/>
          <w:sz w:val="24"/>
          <w:szCs w:val="24"/>
        </w:rPr>
        <w:t xml:space="preserve"> con AAP </w:t>
      </w:r>
    </w:p>
    <w:p w14:paraId="58FA6927" w14:textId="77777777" w:rsidR="00BE7A8C" w:rsidRPr="00BE7A8C" w:rsidRDefault="00BE7A8C" w:rsidP="00BE7A8C">
      <w:pPr>
        <w:pStyle w:val="Prrafodelista"/>
        <w:ind w:left="1800"/>
        <w:rPr>
          <w:b/>
          <w:bCs/>
          <w:sz w:val="24"/>
          <w:szCs w:val="24"/>
        </w:rPr>
      </w:pPr>
    </w:p>
    <w:p w14:paraId="7E831F1B" w14:textId="079A678B" w:rsidR="00BE7A8C" w:rsidRPr="00BE7A8C" w:rsidRDefault="00BE7A8C" w:rsidP="00BE7A8C">
      <w:pPr>
        <w:pStyle w:val="Prrafodelista"/>
        <w:rPr>
          <w:sz w:val="24"/>
          <w:szCs w:val="24"/>
        </w:rPr>
      </w:pPr>
      <w:r w:rsidRPr="00BE7A8C">
        <w:rPr>
          <w:sz w:val="24"/>
          <w:szCs w:val="24"/>
        </w:rPr>
        <w:t xml:space="preserve">Se </w:t>
      </w:r>
      <w:proofErr w:type="spellStart"/>
      <w:r w:rsidRPr="00BE7A8C">
        <w:rPr>
          <w:sz w:val="24"/>
          <w:szCs w:val="24"/>
        </w:rPr>
        <w:t>recomienda</w:t>
      </w:r>
      <w:proofErr w:type="spellEnd"/>
      <w:r w:rsidRPr="00BE7A8C">
        <w:rPr>
          <w:sz w:val="24"/>
          <w:szCs w:val="24"/>
        </w:rPr>
        <w:t xml:space="preserve"> </w:t>
      </w:r>
      <w:proofErr w:type="spellStart"/>
      <w:r w:rsidRPr="00BE7A8C">
        <w:rPr>
          <w:sz w:val="24"/>
          <w:szCs w:val="24"/>
        </w:rPr>
        <w:t>reintroducir</w:t>
      </w:r>
      <w:proofErr w:type="spellEnd"/>
      <w:r w:rsidRPr="00BE7A8C">
        <w:rPr>
          <w:sz w:val="24"/>
          <w:szCs w:val="24"/>
        </w:rPr>
        <w:t xml:space="preserve"> el </w:t>
      </w:r>
      <w:proofErr w:type="spellStart"/>
      <w:r w:rsidRPr="00BE7A8C">
        <w:rPr>
          <w:sz w:val="24"/>
          <w:szCs w:val="24"/>
        </w:rPr>
        <w:t>tratamiento</w:t>
      </w:r>
      <w:proofErr w:type="spellEnd"/>
      <w:r w:rsidRPr="00BE7A8C">
        <w:rPr>
          <w:sz w:val="24"/>
          <w:szCs w:val="24"/>
        </w:rPr>
        <w:t xml:space="preserve"> AAP en las </w:t>
      </w:r>
      <w:proofErr w:type="spellStart"/>
      <w:r w:rsidRPr="00BE7A8C">
        <w:rPr>
          <w:sz w:val="24"/>
          <w:szCs w:val="24"/>
        </w:rPr>
        <w:t>primeras</w:t>
      </w:r>
      <w:proofErr w:type="spellEnd"/>
      <w:r w:rsidRPr="00BE7A8C">
        <w:rPr>
          <w:sz w:val="24"/>
          <w:szCs w:val="24"/>
        </w:rPr>
        <w:t xml:space="preserve"> 6-48horas </w:t>
      </w:r>
      <w:proofErr w:type="spellStart"/>
      <w:r w:rsidRPr="00BE7A8C">
        <w:rPr>
          <w:sz w:val="24"/>
          <w:szCs w:val="24"/>
        </w:rPr>
        <w:t>tras</w:t>
      </w:r>
      <w:proofErr w:type="spellEnd"/>
      <w:r w:rsidRPr="00BE7A8C">
        <w:rPr>
          <w:sz w:val="24"/>
          <w:szCs w:val="24"/>
        </w:rPr>
        <w:t xml:space="preserve"> la </w:t>
      </w:r>
      <w:proofErr w:type="spellStart"/>
      <w:r w:rsidRPr="00BE7A8C">
        <w:rPr>
          <w:sz w:val="24"/>
          <w:szCs w:val="24"/>
        </w:rPr>
        <w:t>cirugía</w:t>
      </w:r>
      <w:proofErr w:type="spellEnd"/>
      <w:r w:rsidRPr="00BE7A8C">
        <w:rPr>
          <w:sz w:val="24"/>
          <w:szCs w:val="24"/>
        </w:rPr>
        <w:t xml:space="preserve">, una </w:t>
      </w:r>
      <w:proofErr w:type="spellStart"/>
      <w:r w:rsidRPr="00BE7A8C">
        <w:rPr>
          <w:sz w:val="24"/>
          <w:szCs w:val="24"/>
        </w:rPr>
        <w:t>vez</w:t>
      </w:r>
      <w:proofErr w:type="spellEnd"/>
      <w:r w:rsidRPr="00BE7A8C">
        <w:rPr>
          <w:sz w:val="24"/>
          <w:szCs w:val="24"/>
        </w:rPr>
        <w:t xml:space="preserve"> </w:t>
      </w:r>
      <w:proofErr w:type="spellStart"/>
      <w:r w:rsidRPr="00BE7A8C">
        <w:rPr>
          <w:sz w:val="24"/>
          <w:szCs w:val="24"/>
        </w:rPr>
        <w:t>evaluado</w:t>
      </w:r>
      <w:proofErr w:type="spellEnd"/>
      <w:r w:rsidRPr="00BE7A8C">
        <w:rPr>
          <w:sz w:val="24"/>
          <w:szCs w:val="24"/>
        </w:rPr>
        <w:t xml:space="preserve"> el </w:t>
      </w:r>
      <w:proofErr w:type="spellStart"/>
      <w:r w:rsidRPr="00BE7A8C">
        <w:rPr>
          <w:sz w:val="24"/>
          <w:szCs w:val="24"/>
        </w:rPr>
        <w:t>riesgo</w:t>
      </w:r>
      <w:proofErr w:type="spellEnd"/>
      <w:r w:rsidRPr="00BE7A8C">
        <w:rPr>
          <w:sz w:val="24"/>
          <w:szCs w:val="24"/>
        </w:rPr>
        <w:t xml:space="preserve"> </w:t>
      </w:r>
      <w:proofErr w:type="spellStart"/>
      <w:r w:rsidRPr="00BE7A8C">
        <w:rPr>
          <w:sz w:val="24"/>
          <w:szCs w:val="24"/>
        </w:rPr>
        <w:t>trombótico</w:t>
      </w:r>
      <w:proofErr w:type="spellEnd"/>
      <w:r w:rsidRPr="00BE7A8C">
        <w:rPr>
          <w:sz w:val="24"/>
          <w:szCs w:val="24"/>
        </w:rPr>
        <w:t xml:space="preserve"> del </w:t>
      </w:r>
      <w:proofErr w:type="spellStart"/>
      <w:r w:rsidRPr="00BE7A8C">
        <w:rPr>
          <w:sz w:val="24"/>
          <w:szCs w:val="24"/>
        </w:rPr>
        <w:t>paciente</w:t>
      </w:r>
      <w:proofErr w:type="spellEnd"/>
      <w:r w:rsidRPr="00BE7A8C">
        <w:rPr>
          <w:sz w:val="24"/>
          <w:szCs w:val="24"/>
        </w:rPr>
        <w:t xml:space="preserve">, </w:t>
      </w:r>
      <w:proofErr w:type="spellStart"/>
      <w:r w:rsidRPr="00BE7A8C">
        <w:rPr>
          <w:sz w:val="24"/>
          <w:szCs w:val="24"/>
        </w:rPr>
        <w:t>consensuado</w:t>
      </w:r>
      <w:proofErr w:type="spellEnd"/>
      <w:r w:rsidRPr="00BE7A8C">
        <w:rPr>
          <w:sz w:val="24"/>
          <w:szCs w:val="24"/>
        </w:rPr>
        <w:t xml:space="preserve"> con el equipo </w:t>
      </w:r>
      <w:proofErr w:type="spellStart"/>
      <w:r w:rsidRPr="00BE7A8C">
        <w:rPr>
          <w:sz w:val="24"/>
          <w:szCs w:val="24"/>
        </w:rPr>
        <w:t>quirúrgico</w:t>
      </w:r>
      <w:proofErr w:type="spellEnd"/>
      <w:r w:rsidRPr="00BE7A8C">
        <w:rPr>
          <w:sz w:val="24"/>
          <w:szCs w:val="24"/>
        </w:rPr>
        <w:t xml:space="preserve"> y en </w:t>
      </w:r>
      <w:proofErr w:type="spellStart"/>
      <w:r w:rsidRPr="00BE7A8C">
        <w:rPr>
          <w:sz w:val="24"/>
          <w:szCs w:val="24"/>
        </w:rPr>
        <w:t>ausencia</w:t>
      </w:r>
      <w:proofErr w:type="spellEnd"/>
      <w:r w:rsidRPr="00BE7A8C">
        <w:rPr>
          <w:sz w:val="24"/>
          <w:szCs w:val="24"/>
        </w:rPr>
        <w:t xml:space="preserve"> de </w:t>
      </w:r>
      <w:proofErr w:type="spellStart"/>
      <w:r w:rsidRPr="00BE7A8C">
        <w:rPr>
          <w:sz w:val="24"/>
          <w:szCs w:val="24"/>
        </w:rPr>
        <w:t>hemorragia</w:t>
      </w:r>
      <w:proofErr w:type="spellEnd"/>
      <w:r w:rsidRPr="00BE7A8C">
        <w:rPr>
          <w:sz w:val="24"/>
          <w:szCs w:val="24"/>
        </w:rPr>
        <w:t xml:space="preserve"> postoperatoria</w:t>
      </w:r>
      <w:r w:rsidRPr="00BE7A8C">
        <w:rPr>
          <w:sz w:val="24"/>
          <w:szCs w:val="24"/>
          <w:vertAlign w:val="superscript"/>
        </w:rPr>
        <w:t>5,7</w:t>
      </w:r>
      <w:r w:rsidR="00A42ACC">
        <w:rPr>
          <w:sz w:val="24"/>
          <w:szCs w:val="24"/>
        </w:rPr>
        <w:t>(</w:t>
      </w:r>
      <w:proofErr w:type="spellStart"/>
      <w:r w:rsidR="00A42ACC" w:rsidRPr="00224D73">
        <w:t>anexo</w:t>
      </w:r>
      <w:proofErr w:type="spellEnd"/>
      <w:r w:rsidR="00A42ACC" w:rsidRPr="00224D73">
        <w:t xml:space="preserve"> 1</w:t>
      </w:r>
      <w:r w:rsidR="00A42ACC">
        <w:rPr>
          <w:sz w:val="24"/>
          <w:szCs w:val="24"/>
        </w:rPr>
        <w:t>).</w:t>
      </w:r>
    </w:p>
    <w:p w14:paraId="074D4486" w14:textId="50F60ECF" w:rsidR="00BE7A8C" w:rsidRPr="00BE7A8C" w:rsidRDefault="00BE7A8C" w:rsidP="00BE7A8C">
      <w:pPr>
        <w:pStyle w:val="Prrafodelista"/>
        <w:rPr>
          <w:sz w:val="24"/>
          <w:szCs w:val="24"/>
        </w:rPr>
      </w:pPr>
      <w:r w:rsidRPr="00BE7A8C">
        <w:rPr>
          <w:sz w:val="24"/>
          <w:szCs w:val="24"/>
        </w:rPr>
        <w:t xml:space="preserve">Si el </w:t>
      </w:r>
      <w:proofErr w:type="spellStart"/>
      <w:r w:rsidRPr="00BE7A8C">
        <w:rPr>
          <w:sz w:val="24"/>
          <w:szCs w:val="24"/>
        </w:rPr>
        <w:t>paciente</w:t>
      </w:r>
      <w:proofErr w:type="spellEnd"/>
      <w:r w:rsidRPr="00BE7A8C">
        <w:rPr>
          <w:sz w:val="24"/>
          <w:szCs w:val="24"/>
        </w:rPr>
        <w:t xml:space="preserve"> </w:t>
      </w:r>
      <w:proofErr w:type="spellStart"/>
      <w:r w:rsidRPr="00BE7A8C">
        <w:rPr>
          <w:sz w:val="24"/>
          <w:szCs w:val="24"/>
        </w:rPr>
        <w:t>tiene</w:t>
      </w:r>
      <w:proofErr w:type="spellEnd"/>
      <w:r w:rsidRPr="00BE7A8C">
        <w:rPr>
          <w:sz w:val="24"/>
          <w:szCs w:val="24"/>
        </w:rPr>
        <w:t xml:space="preserve"> un </w:t>
      </w:r>
      <w:proofErr w:type="spellStart"/>
      <w:r w:rsidRPr="00BE7A8C">
        <w:rPr>
          <w:sz w:val="24"/>
          <w:szCs w:val="24"/>
        </w:rPr>
        <w:t>elevado</w:t>
      </w:r>
      <w:proofErr w:type="spellEnd"/>
      <w:r w:rsidRPr="00BE7A8C">
        <w:rPr>
          <w:sz w:val="24"/>
          <w:szCs w:val="24"/>
        </w:rPr>
        <w:t xml:space="preserve"> </w:t>
      </w:r>
      <w:proofErr w:type="spellStart"/>
      <w:r w:rsidRPr="00BE7A8C">
        <w:rPr>
          <w:sz w:val="24"/>
          <w:szCs w:val="24"/>
        </w:rPr>
        <w:t>riesgo</w:t>
      </w:r>
      <w:proofErr w:type="spellEnd"/>
      <w:r w:rsidRPr="00BE7A8C">
        <w:rPr>
          <w:sz w:val="24"/>
          <w:szCs w:val="24"/>
        </w:rPr>
        <w:t xml:space="preserve"> </w:t>
      </w:r>
      <w:proofErr w:type="spellStart"/>
      <w:r w:rsidRPr="00BE7A8C">
        <w:rPr>
          <w:sz w:val="24"/>
          <w:szCs w:val="24"/>
        </w:rPr>
        <w:t>trombótico</w:t>
      </w:r>
      <w:proofErr w:type="spellEnd"/>
      <w:r w:rsidRPr="00BE7A8C">
        <w:rPr>
          <w:sz w:val="24"/>
          <w:szCs w:val="24"/>
        </w:rPr>
        <w:t xml:space="preserve"> y </w:t>
      </w:r>
      <w:proofErr w:type="spellStart"/>
      <w:r w:rsidRPr="00BE7A8C">
        <w:rPr>
          <w:sz w:val="24"/>
          <w:szCs w:val="24"/>
        </w:rPr>
        <w:t>está</w:t>
      </w:r>
      <w:proofErr w:type="spellEnd"/>
      <w:r w:rsidRPr="00BE7A8C">
        <w:rPr>
          <w:sz w:val="24"/>
          <w:szCs w:val="24"/>
        </w:rPr>
        <w:t xml:space="preserve"> </w:t>
      </w:r>
      <w:proofErr w:type="spellStart"/>
      <w:r w:rsidRPr="00BE7A8C">
        <w:rPr>
          <w:sz w:val="24"/>
          <w:szCs w:val="24"/>
        </w:rPr>
        <w:t>doblemente</w:t>
      </w:r>
      <w:proofErr w:type="spellEnd"/>
      <w:r w:rsidRPr="00BE7A8C">
        <w:rPr>
          <w:sz w:val="24"/>
          <w:szCs w:val="24"/>
        </w:rPr>
        <w:t xml:space="preserve"> </w:t>
      </w:r>
      <w:proofErr w:type="spellStart"/>
      <w:r w:rsidRPr="00BE7A8C">
        <w:rPr>
          <w:sz w:val="24"/>
          <w:szCs w:val="24"/>
        </w:rPr>
        <w:t>antiagregado</w:t>
      </w:r>
      <w:proofErr w:type="spellEnd"/>
      <w:r w:rsidRPr="00BE7A8C">
        <w:rPr>
          <w:sz w:val="24"/>
          <w:szCs w:val="24"/>
        </w:rPr>
        <w:t xml:space="preserve">, se </w:t>
      </w:r>
      <w:proofErr w:type="spellStart"/>
      <w:r w:rsidRPr="00BE7A8C">
        <w:rPr>
          <w:sz w:val="24"/>
          <w:szCs w:val="24"/>
        </w:rPr>
        <w:t>puede</w:t>
      </w:r>
      <w:proofErr w:type="spellEnd"/>
      <w:r w:rsidRPr="00BE7A8C">
        <w:rPr>
          <w:sz w:val="24"/>
          <w:szCs w:val="24"/>
        </w:rPr>
        <w:t xml:space="preserve"> valorar la </w:t>
      </w:r>
      <w:proofErr w:type="spellStart"/>
      <w:r w:rsidRPr="00BE7A8C">
        <w:rPr>
          <w:sz w:val="24"/>
          <w:szCs w:val="24"/>
        </w:rPr>
        <w:t>administración</w:t>
      </w:r>
      <w:proofErr w:type="spellEnd"/>
      <w:r w:rsidRPr="00BE7A8C">
        <w:rPr>
          <w:sz w:val="24"/>
          <w:szCs w:val="24"/>
        </w:rPr>
        <w:t xml:space="preserve"> de una dosis de carga del inhibidor P2Y12 (</w:t>
      </w:r>
      <w:proofErr w:type="spellStart"/>
      <w:r w:rsidRPr="00BE7A8C">
        <w:rPr>
          <w:sz w:val="24"/>
          <w:szCs w:val="24"/>
        </w:rPr>
        <w:t>clopidogrel</w:t>
      </w:r>
      <w:proofErr w:type="spellEnd"/>
      <w:r w:rsidRPr="00BE7A8C">
        <w:rPr>
          <w:sz w:val="24"/>
          <w:szCs w:val="24"/>
        </w:rPr>
        <w:t xml:space="preserve"> 300- 600mg, </w:t>
      </w:r>
      <w:proofErr w:type="spellStart"/>
      <w:r w:rsidRPr="00BE7A8C">
        <w:rPr>
          <w:sz w:val="24"/>
          <w:szCs w:val="24"/>
        </w:rPr>
        <w:t>prasugrel</w:t>
      </w:r>
      <w:proofErr w:type="spellEnd"/>
      <w:r w:rsidRPr="00BE7A8C">
        <w:rPr>
          <w:sz w:val="24"/>
          <w:szCs w:val="24"/>
        </w:rPr>
        <w:t xml:space="preserve"> 60mg, </w:t>
      </w:r>
      <w:proofErr w:type="spellStart"/>
      <w:r w:rsidRPr="00BE7A8C">
        <w:rPr>
          <w:sz w:val="24"/>
          <w:szCs w:val="24"/>
        </w:rPr>
        <w:t>ticagrelor</w:t>
      </w:r>
      <w:proofErr w:type="spellEnd"/>
      <w:r w:rsidRPr="00BE7A8C">
        <w:rPr>
          <w:sz w:val="24"/>
          <w:szCs w:val="24"/>
        </w:rPr>
        <w:t xml:space="preserve"> 180mg)</w:t>
      </w:r>
      <w:r w:rsidRPr="00BE7A8C">
        <w:rPr>
          <w:sz w:val="24"/>
          <w:szCs w:val="24"/>
          <w:vertAlign w:val="superscript"/>
        </w:rPr>
        <w:t xml:space="preserve">9 </w:t>
      </w:r>
      <w:proofErr w:type="spellStart"/>
      <w:r w:rsidRPr="00BE7A8C">
        <w:rPr>
          <w:sz w:val="24"/>
          <w:szCs w:val="24"/>
        </w:rPr>
        <w:t>tras</w:t>
      </w:r>
      <w:proofErr w:type="spellEnd"/>
      <w:r w:rsidRPr="00BE7A8C">
        <w:rPr>
          <w:sz w:val="24"/>
          <w:szCs w:val="24"/>
        </w:rPr>
        <w:t xml:space="preserve"> </w:t>
      </w:r>
      <w:proofErr w:type="spellStart"/>
      <w:r w:rsidRPr="00BE7A8C">
        <w:rPr>
          <w:sz w:val="24"/>
          <w:szCs w:val="24"/>
        </w:rPr>
        <w:t>valoración</w:t>
      </w:r>
      <w:proofErr w:type="spellEnd"/>
      <w:r w:rsidRPr="00BE7A8C">
        <w:rPr>
          <w:sz w:val="24"/>
          <w:szCs w:val="24"/>
        </w:rPr>
        <w:t xml:space="preserve"> </w:t>
      </w:r>
      <w:proofErr w:type="spellStart"/>
      <w:r w:rsidRPr="00BE7A8C">
        <w:rPr>
          <w:sz w:val="24"/>
          <w:szCs w:val="24"/>
        </w:rPr>
        <w:t>interdisciplinar</w:t>
      </w:r>
      <w:proofErr w:type="spellEnd"/>
      <w:r w:rsidRPr="00BE7A8C">
        <w:rPr>
          <w:sz w:val="24"/>
          <w:szCs w:val="24"/>
        </w:rPr>
        <w:t xml:space="preserve"> y </w:t>
      </w:r>
      <w:proofErr w:type="spellStart"/>
      <w:r w:rsidRPr="00BE7A8C">
        <w:rPr>
          <w:sz w:val="24"/>
          <w:szCs w:val="24"/>
        </w:rPr>
        <w:t>consenso</w:t>
      </w:r>
      <w:proofErr w:type="spellEnd"/>
      <w:r w:rsidRPr="00BE7A8C">
        <w:rPr>
          <w:sz w:val="24"/>
          <w:szCs w:val="24"/>
        </w:rPr>
        <w:t xml:space="preserve"> con </w:t>
      </w:r>
      <w:proofErr w:type="spellStart"/>
      <w:r w:rsidRPr="00BE7A8C">
        <w:rPr>
          <w:sz w:val="24"/>
          <w:szCs w:val="24"/>
        </w:rPr>
        <w:t>Cardiología</w:t>
      </w:r>
      <w:proofErr w:type="spellEnd"/>
      <w:r w:rsidRPr="00BE7A8C">
        <w:rPr>
          <w:sz w:val="24"/>
          <w:szCs w:val="24"/>
        </w:rPr>
        <w:t xml:space="preserve"> y </w:t>
      </w:r>
      <w:proofErr w:type="spellStart"/>
      <w:r w:rsidRPr="00BE7A8C">
        <w:rPr>
          <w:sz w:val="24"/>
          <w:szCs w:val="24"/>
        </w:rPr>
        <w:t>Traumatología</w:t>
      </w:r>
      <w:proofErr w:type="spellEnd"/>
      <w:r w:rsidRPr="00BE7A8C">
        <w:rPr>
          <w:sz w:val="24"/>
          <w:szCs w:val="24"/>
        </w:rPr>
        <w:t>.</w:t>
      </w:r>
    </w:p>
    <w:p w14:paraId="0AA3000E" w14:textId="77777777" w:rsidR="00BE7A8C" w:rsidRPr="00BE7A8C" w:rsidRDefault="00BE7A8C" w:rsidP="00BE7A8C">
      <w:pPr>
        <w:pStyle w:val="Prrafodelista"/>
        <w:rPr>
          <w:sz w:val="24"/>
          <w:szCs w:val="24"/>
        </w:rPr>
      </w:pPr>
    </w:p>
    <w:p w14:paraId="3A4A89F1" w14:textId="588F0D4A" w:rsidR="00BE7A8C" w:rsidRDefault="00BE7A8C" w:rsidP="00BE7A8C">
      <w:pPr>
        <w:pStyle w:val="Prrafodelista"/>
        <w:numPr>
          <w:ilvl w:val="2"/>
          <w:numId w:val="10"/>
        </w:numPr>
        <w:rPr>
          <w:b/>
          <w:bCs/>
          <w:sz w:val="24"/>
          <w:szCs w:val="24"/>
        </w:rPr>
      </w:pPr>
      <w:proofErr w:type="spellStart"/>
      <w:r w:rsidRPr="00BE7A8C">
        <w:rPr>
          <w:b/>
          <w:bCs/>
          <w:sz w:val="24"/>
          <w:szCs w:val="24"/>
        </w:rPr>
        <w:t>Reintroducción</w:t>
      </w:r>
      <w:proofErr w:type="spellEnd"/>
      <w:r w:rsidRPr="00BE7A8C">
        <w:rPr>
          <w:b/>
          <w:bCs/>
          <w:sz w:val="24"/>
          <w:szCs w:val="24"/>
        </w:rPr>
        <w:t xml:space="preserve"> del </w:t>
      </w:r>
      <w:proofErr w:type="spellStart"/>
      <w:r w:rsidRPr="00BE7A8C">
        <w:rPr>
          <w:b/>
          <w:bCs/>
          <w:sz w:val="24"/>
          <w:szCs w:val="24"/>
        </w:rPr>
        <w:t>tratamiento</w:t>
      </w:r>
      <w:proofErr w:type="spellEnd"/>
      <w:r w:rsidRPr="00BE7A8C">
        <w:rPr>
          <w:b/>
          <w:bCs/>
          <w:sz w:val="24"/>
          <w:szCs w:val="24"/>
        </w:rPr>
        <w:t xml:space="preserve"> con ACO </w:t>
      </w:r>
    </w:p>
    <w:p w14:paraId="62790A5A" w14:textId="77777777" w:rsidR="00BE7A8C" w:rsidRPr="00BE7A8C" w:rsidRDefault="00BE7A8C" w:rsidP="00BE7A8C">
      <w:pPr>
        <w:pStyle w:val="Prrafodelista"/>
        <w:ind w:left="1800"/>
        <w:rPr>
          <w:b/>
          <w:bCs/>
          <w:sz w:val="24"/>
          <w:szCs w:val="24"/>
        </w:rPr>
      </w:pPr>
    </w:p>
    <w:p w14:paraId="7246C039" w14:textId="74BADEBE" w:rsidR="00BE7A8C" w:rsidRDefault="00BE7A8C" w:rsidP="00BE7A8C">
      <w:pPr>
        <w:pStyle w:val="Prrafodelista"/>
        <w:rPr>
          <w:sz w:val="24"/>
          <w:szCs w:val="24"/>
        </w:rPr>
      </w:pPr>
      <w:r w:rsidRPr="00BE7A8C">
        <w:rPr>
          <w:sz w:val="24"/>
          <w:szCs w:val="24"/>
        </w:rPr>
        <w:t xml:space="preserve">En el caso de los AVK, se </w:t>
      </w:r>
      <w:proofErr w:type="spellStart"/>
      <w:r w:rsidRPr="00BE7A8C">
        <w:rPr>
          <w:sz w:val="24"/>
          <w:szCs w:val="24"/>
        </w:rPr>
        <w:t>recomienda</w:t>
      </w:r>
      <w:proofErr w:type="spellEnd"/>
      <w:r w:rsidRPr="00BE7A8C">
        <w:rPr>
          <w:sz w:val="24"/>
          <w:szCs w:val="24"/>
        </w:rPr>
        <w:t xml:space="preserve"> reiniciar el </w:t>
      </w:r>
      <w:proofErr w:type="spellStart"/>
      <w:r w:rsidRPr="00BE7A8C">
        <w:rPr>
          <w:sz w:val="24"/>
          <w:szCs w:val="24"/>
        </w:rPr>
        <w:t>anticoagulante</w:t>
      </w:r>
      <w:proofErr w:type="spellEnd"/>
      <w:r w:rsidRPr="00BE7A8C">
        <w:rPr>
          <w:sz w:val="24"/>
          <w:szCs w:val="24"/>
        </w:rPr>
        <w:t xml:space="preserve"> oral una </w:t>
      </w:r>
      <w:proofErr w:type="spellStart"/>
      <w:r w:rsidRPr="00BE7A8C">
        <w:rPr>
          <w:sz w:val="24"/>
          <w:szCs w:val="24"/>
        </w:rPr>
        <w:t>vez</w:t>
      </w:r>
      <w:proofErr w:type="spellEnd"/>
      <w:r w:rsidRPr="00BE7A8C">
        <w:rPr>
          <w:sz w:val="24"/>
          <w:szCs w:val="24"/>
        </w:rPr>
        <w:t xml:space="preserve"> </w:t>
      </w:r>
      <w:proofErr w:type="spellStart"/>
      <w:r w:rsidRPr="00BE7A8C">
        <w:rPr>
          <w:sz w:val="24"/>
          <w:szCs w:val="24"/>
        </w:rPr>
        <w:t>asegurada</w:t>
      </w:r>
      <w:proofErr w:type="spellEnd"/>
      <w:r w:rsidRPr="00BE7A8C">
        <w:rPr>
          <w:sz w:val="24"/>
          <w:szCs w:val="24"/>
        </w:rPr>
        <w:t xml:space="preserve"> la </w:t>
      </w:r>
      <w:proofErr w:type="spellStart"/>
      <w:r w:rsidRPr="00BE7A8C">
        <w:rPr>
          <w:sz w:val="24"/>
          <w:szCs w:val="24"/>
        </w:rPr>
        <w:t>hemostasia</w:t>
      </w:r>
      <w:proofErr w:type="spellEnd"/>
      <w:r w:rsidRPr="00BE7A8C">
        <w:rPr>
          <w:sz w:val="24"/>
          <w:szCs w:val="24"/>
        </w:rPr>
        <w:t xml:space="preserve"> (</w:t>
      </w:r>
      <w:proofErr w:type="spellStart"/>
      <w:r w:rsidRPr="00BE7A8C">
        <w:rPr>
          <w:sz w:val="24"/>
          <w:szCs w:val="24"/>
        </w:rPr>
        <w:t>habitualmente</w:t>
      </w:r>
      <w:proofErr w:type="spellEnd"/>
      <w:r w:rsidRPr="00BE7A8C">
        <w:rPr>
          <w:sz w:val="24"/>
          <w:szCs w:val="24"/>
        </w:rPr>
        <w:t xml:space="preserve"> 48-72horas </w:t>
      </w:r>
      <w:proofErr w:type="spellStart"/>
      <w:r w:rsidRPr="00BE7A8C">
        <w:rPr>
          <w:sz w:val="24"/>
          <w:szCs w:val="24"/>
        </w:rPr>
        <w:t>postoperatorias</w:t>
      </w:r>
      <w:proofErr w:type="spellEnd"/>
      <w:r w:rsidRPr="00BE7A8C">
        <w:rPr>
          <w:sz w:val="24"/>
          <w:szCs w:val="24"/>
        </w:rPr>
        <w:t>)</w:t>
      </w:r>
      <w:r w:rsidRPr="00BE7A8C">
        <w:rPr>
          <w:sz w:val="24"/>
          <w:szCs w:val="24"/>
          <w:vertAlign w:val="superscript"/>
        </w:rPr>
        <w:t>5,9</w:t>
      </w:r>
      <w:r w:rsidRPr="00BE7A8C">
        <w:rPr>
          <w:sz w:val="24"/>
          <w:szCs w:val="24"/>
        </w:rPr>
        <w:t xml:space="preserve">. </w:t>
      </w:r>
      <w:proofErr w:type="spellStart"/>
      <w:r w:rsidRPr="00BE7A8C">
        <w:rPr>
          <w:sz w:val="24"/>
          <w:szCs w:val="24"/>
        </w:rPr>
        <w:t>Puede</w:t>
      </w:r>
      <w:proofErr w:type="spellEnd"/>
      <w:r w:rsidRPr="00BE7A8C">
        <w:rPr>
          <w:sz w:val="24"/>
          <w:szCs w:val="24"/>
        </w:rPr>
        <w:t xml:space="preserve"> tardar </w:t>
      </w:r>
      <w:proofErr w:type="spellStart"/>
      <w:r w:rsidRPr="00BE7A8C">
        <w:rPr>
          <w:sz w:val="24"/>
          <w:szCs w:val="24"/>
        </w:rPr>
        <w:t>hasta</w:t>
      </w:r>
      <w:proofErr w:type="spellEnd"/>
      <w:r w:rsidRPr="00BE7A8C">
        <w:rPr>
          <w:sz w:val="24"/>
          <w:szCs w:val="24"/>
        </w:rPr>
        <w:t xml:space="preserve"> 10 </w:t>
      </w:r>
      <w:proofErr w:type="spellStart"/>
      <w:r w:rsidRPr="00BE7A8C">
        <w:rPr>
          <w:sz w:val="24"/>
          <w:szCs w:val="24"/>
        </w:rPr>
        <w:t>días</w:t>
      </w:r>
      <w:proofErr w:type="spellEnd"/>
      <w:r w:rsidRPr="00BE7A8C">
        <w:rPr>
          <w:sz w:val="24"/>
          <w:szCs w:val="24"/>
        </w:rPr>
        <w:t xml:space="preserve"> en </w:t>
      </w:r>
      <w:proofErr w:type="spellStart"/>
      <w:r w:rsidRPr="00BE7A8C">
        <w:rPr>
          <w:sz w:val="24"/>
          <w:szCs w:val="24"/>
        </w:rPr>
        <w:t>alcanzar</w:t>
      </w:r>
      <w:proofErr w:type="spellEnd"/>
      <w:r w:rsidRPr="00BE7A8C">
        <w:rPr>
          <w:sz w:val="24"/>
          <w:szCs w:val="24"/>
        </w:rPr>
        <w:t xml:space="preserve"> una </w:t>
      </w:r>
      <w:proofErr w:type="spellStart"/>
      <w:r w:rsidRPr="00BE7A8C">
        <w:rPr>
          <w:sz w:val="24"/>
          <w:szCs w:val="24"/>
        </w:rPr>
        <w:t>anticoagulación</w:t>
      </w:r>
      <w:proofErr w:type="spellEnd"/>
      <w:r w:rsidRPr="00BE7A8C">
        <w:rPr>
          <w:sz w:val="24"/>
          <w:szCs w:val="24"/>
        </w:rPr>
        <w:t xml:space="preserve"> plena (INR &gt;2); </w:t>
      </w:r>
      <w:proofErr w:type="spellStart"/>
      <w:r w:rsidRPr="00BE7A8C">
        <w:rPr>
          <w:sz w:val="24"/>
          <w:szCs w:val="24"/>
        </w:rPr>
        <w:t>durante</w:t>
      </w:r>
      <w:proofErr w:type="spellEnd"/>
      <w:r w:rsidRPr="00BE7A8C">
        <w:rPr>
          <w:sz w:val="24"/>
          <w:szCs w:val="24"/>
        </w:rPr>
        <w:t xml:space="preserve"> este </w:t>
      </w:r>
      <w:proofErr w:type="spellStart"/>
      <w:r w:rsidRPr="00BE7A8C">
        <w:rPr>
          <w:sz w:val="24"/>
          <w:szCs w:val="24"/>
        </w:rPr>
        <w:t>período</w:t>
      </w:r>
      <w:proofErr w:type="spellEnd"/>
      <w:r w:rsidRPr="00BE7A8C">
        <w:rPr>
          <w:sz w:val="24"/>
          <w:szCs w:val="24"/>
        </w:rPr>
        <w:t xml:space="preserve"> y </w:t>
      </w:r>
      <w:proofErr w:type="spellStart"/>
      <w:r w:rsidRPr="00BE7A8C">
        <w:rPr>
          <w:sz w:val="24"/>
          <w:szCs w:val="24"/>
        </w:rPr>
        <w:t>hasta</w:t>
      </w:r>
      <w:proofErr w:type="spellEnd"/>
      <w:r w:rsidRPr="00BE7A8C">
        <w:rPr>
          <w:sz w:val="24"/>
          <w:szCs w:val="24"/>
        </w:rPr>
        <w:t xml:space="preserve"> </w:t>
      </w:r>
      <w:proofErr w:type="spellStart"/>
      <w:r w:rsidRPr="00BE7A8C">
        <w:rPr>
          <w:sz w:val="24"/>
          <w:szCs w:val="24"/>
        </w:rPr>
        <w:t>alcanzar</w:t>
      </w:r>
      <w:proofErr w:type="spellEnd"/>
      <w:r w:rsidRPr="00BE7A8C">
        <w:rPr>
          <w:sz w:val="24"/>
          <w:szCs w:val="24"/>
        </w:rPr>
        <w:t xml:space="preserve"> el INR </w:t>
      </w:r>
      <w:proofErr w:type="spellStart"/>
      <w:r w:rsidRPr="00BE7A8C">
        <w:rPr>
          <w:sz w:val="24"/>
          <w:szCs w:val="24"/>
        </w:rPr>
        <w:t>deseado</w:t>
      </w:r>
      <w:proofErr w:type="spellEnd"/>
      <w:r w:rsidRPr="00BE7A8C">
        <w:rPr>
          <w:sz w:val="24"/>
          <w:szCs w:val="24"/>
        </w:rPr>
        <w:t xml:space="preserve"> (INR &gt;2) </w:t>
      </w:r>
      <w:proofErr w:type="spellStart"/>
      <w:r w:rsidRPr="00BE7A8C">
        <w:rPr>
          <w:sz w:val="24"/>
          <w:szCs w:val="24"/>
        </w:rPr>
        <w:t>está</w:t>
      </w:r>
      <w:proofErr w:type="spellEnd"/>
      <w:r w:rsidRPr="00BE7A8C">
        <w:rPr>
          <w:sz w:val="24"/>
          <w:szCs w:val="24"/>
        </w:rPr>
        <w:t xml:space="preserve"> </w:t>
      </w:r>
      <w:proofErr w:type="spellStart"/>
      <w:r w:rsidRPr="00BE7A8C">
        <w:rPr>
          <w:sz w:val="24"/>
          <w:szCs w:val="24"/>
        </w:rPr>
        <w:t>indicado</w:t>
      </w:r>
      <w:proofErr w:type="spellEnd"/>
      <w:r w:rsidRPr="00BE7A8C">
        <w:rPr>
          <w:sz w:val="24"/>
          <w:szCs w:val="24"/>
        </w:rPr>
        <w:t xml:space="preserve"> solapar el </w:t>
      </w:r>
      <w:proofErr w:type="spellStart"/>
      <w:r w:rsidRPr="00BE7A8C">
        <w:rPr>
          <w:sz w:val="24"/>
          <w:szCs w:val="24"/>
        </w:rPr>
        <w:lastRenderedPageBreak/>
        <w:t>tratamiento</w:t>
      </w:r>
      <w:proofErr w:type="spellEnd"/>
      <w:r w:rsidRPr="00BE7A8C">
        <w:rPr>
          <w:sz w:val="24"/>
          <w:szCs w:val="24"/>
        </w:rPr>
        <w:t xml:space="preserve"> con HBPM a dosis </w:t>
      </w:r>
      <w:proofErr w:type="spellStart"/>
      <w:r w:rsidRPr="00BE7A8C">
        <w:rPr>
          <w:sz w:val="24"/>
          <w:szCs w:val="24"/>
        </w:rPr>
        <w:t>profiláctica</w:t>
      </w:r>
      <w:proofErr w:type="spellEnd"/>
      <w:r w:rsidRPr="00BE7A8C">
        <w:rPr>
          <w:sz w:val="24"/>
          <w:szCs w:val="24"/>
        </w:rPr>
        <w:t xml:space="preserve"> o </w:t>
      </w:r>
      <w:proofErr w:type="spellStart"/>
      <w:r w:rsidRPr="00BE7A8C">
        <w:rPr>
          <w:sz w:val="24"/>
          <w:szCs w:val="24"/>
        </w:rPr>
        <w:t>terapéutica</w:t>
      </w:r>
      <w:proofErr w:type="spellEnd"/>
      <w:r w:rsidRPr="00BE7A8C">
        <w:rPr>
          <w:sz w:val="24"/>
          <w:szCs w:val="24"/>
        </w:rPr>
        <w:t xml:space="preserve"> en </w:t>
      </w:r>
      <w:proofErr w:type="spellStart"/>
      <w:r w:rsidRPr="00BE7A8C">
        <w:rPr>
          <w:sz w:val="24"/>
          <w:szCs w:val="24"/>
        </w:rPr>
        <w:t>función</w:t>
      </w:r>
      <w:proofErr w:type="spellEnd"/>
      <w:r w:rsidRPr="00BE7A8C">
        <w:rPr>
          <w:sz w:val="24"/>
          <w:szCs w:val="24"/>
        </w:rPr>
        <w:t xml:space="preserve"> del </w:t>
      </w:r>
      <w:proofErr w:type="spellStart"/>
      <w:r w:rsidRPr="00BE7A8C">
        <w:rPr>
          <w:sz w:val="24"/>
          <w:szCs w:val="24"/>
        </w:rPr>
        <w:t>riesgo</w:t>
      </w:r>
      <w:proofErr w:type="spellEnd"/>
      <w:r w:rsidRPr="00BE7A8C">
        <w:rPr>
          <w:sz w:val="24"/>
          <w:szCs w:val="24"/>
        </w:rPr>
        <w:t xml:space="preserve"> </w:t>
      </w:r>
      <w:proofErr w:type="spellStart"/>
      <w:r w:rsidRPr="00BE7A8C">
        <w:rPr>
          <w:sz w:val="24"/>
          <w:szCs w:val="24"/>
        </w:rPr>
        <w:t>trombótico</w:t>
      </w:r>
      <w:proofErr w:type="spellEnd"/>
      <w:r w:rsidRPr="00BE7A8C">
        <w:rPr>
          <w:sz w:val="24"/>
          <w:szCs w:val="24"/>
        </w:rPr>
        <w:t xml:space="preserve"> del paciente</w:t>
      </w:r>
      <w:r w:rsidRPr="00BE7A8C">
        <w:rPr>
          <w:sz w:val="24"/>
          <w:szCs w:val="24"/>
          <w:vertAlign w:val="superscript"/>
        </w:rPr>
        <w:t>5,9</w:t>
      </w:r>
      <w:r w:rsidRPr="00BE7A8C">
        <w:rPr>
          <w:sz w:val="24"/>
          <w:szCs w:val="24"/>
        </w:rPr>
        <w:t xml:space="preserve">. </w:t>
      </w:r>
      <w:r w:rsidR="000F7C5F">
        <w:rPr>
          <w:sz w:val="24"/>
          <w:szCs w:val="24"/>
        </w:rPr>
        <w:t>(</w:t>
      </w:r>
      <w:r w:rsidR="000F7C5F" w:rsidRPr="000F7C5F">
        <w:t>figura 2</w:t>
      </w:r>
      <w:r w:rsidR="000F7C5F">
        <w:rPr>
          <w:sz w:val="24"/>
          <w:szCs w:val="24"/>
        </w:rPr>
        <w:t>)</w:t>
      </w:r>
    </w:p>
    <w:p w14:paraId="59CE7E30" w14:textId="77777777" w:rsidR="00BE7A8C" w:rsidRDefault="00BE7A8C" w:rsidP="00BE7A8C">
      <w:pPr>
        <w:pStyle w:val="Prrafodelista"/>
        <w:rPr>
          <w:sz w:val="24"/>
          <w:szCs w:val="24"/>
        </w:rPr>
      </w:pPr>
    </w:p>
    <w:p w14:paraId="589AC468" w14:textId="7F2BB476" w:rsidR="00BE7A8C" w:rsidRPr="00BE7A8C" w:rsidRDefault="00BE7A8C" w:rsidP="00BE7A8C">
      <w:pPr>
        <w:pStyle w:val="Prrafodelista"/>
        <w:rPr>
          <w:sz w:val="24"/>
          <w:szCs w:val="24"/>
        </w:rPr>
      </w:pPr>
      <w:r w:rsidRPr="00BE7A8C">
        <w:rPr>
          <w:sz w:val="24"/>
          <w:szCs w:val="24"/>
        </w:rPr>
        <w:t xml:space="preserve">En el caso de los ACOD, se </w:t>
      </w:r>
      <w:proofErr w:type="spellStart"/>
      <w:r w:rsidRPr="00BE7A8C">
        <w:rPr>
          <w:sz w:val="24"/>
          <w:szCs w:val="24"/>
        </w:rPr>
        <w:t>recomienda</w:t>
      </w:r>
      <w:proofErr w:type="spellEnd"/>
      <w:r w:rsidRPr="00BE7A8C">
        <w:rPr>
          <w:sz w:val="24"/>
          <w:szCs w:val="24"/>
        </w:rPr>
        <w:t xml:space="preserve"> </w:t>
      </w:r>
      <w:proofErr w:type="spellStart"/>
      <w:r w:rsidRPr="00BE7A8C">
        <w:rPr>
          <w:sz w:val="24"/>
          <w:szCs w:val="24"/>
        </w:rPr>
        <w:t>reiniciarlos</w:t>
      </w:r>
      <w:proofErr w:type="spellEnd"/>
      <w:r w:rsidRPr="00BE7A8C">
        <w:rPr>
          <w:sz w:val="24"/>
          <w:szCs w:val="24"/>
        </w:rPr>
        <w:t xml:space="preserve"> una </w:t>
      </w:r>
      <w:proofErr w:type="spellStart"/>
      <w:r w:rsidRPr="00BE7A8C">
        <w:rPr>
          <w:sz w:val="24"/>
          <w:szCs w:val="24"/>
        </w:rPr>
        <w:t>vez</w:t>
      </w:r>
      <w:proofErr w:type="spellEnd"/>
      <w:r w:rsidRPr="00BE7A8C">
        <w:rPr>
          <w:sz w:val="24"/>
          <w:szCs w:val="24"/>
        </w:rPr>
        <w:t xml:space="preserve"> </w:t>
      </w:r>
      <w:proofErr w:type="spellStart"/>
      <w:r w:rsidRPr="00BE7A8C">
        <w:rPr>
          <w:sz w:val="24"/>
          <w:szCs w:val="24"/>
        </w:rPr>
        <w:t>asegurada</w:t>
      </w:r>
      <w:proofErr w:type="spellEnd"/>
      <w:r w:rsidRPr="00BE7A8C">
        <w:rPr>
          <w:sz w:val="24"/>
          <w:szCs w:val="24"/>
        </w:rPr>
        <w:t xml:space="preserve"> la </w:t>
      </w:r>
      <w:proofErr w:type="spellStart"/>
      <w:r w:rsidRPr="00BE7A8C">
        <w:rPr>
          <w:sz w:val="24"/>
          <w:szCs w:val="24"/>
        </w:rPr>
        <w:t>hemostasia</w:t>
      </w:r>
      <w:proofErr w:type="spellEnd"/>
      <w:r w:rsidRPr="00BE7A8C">
        <w:rPr>
          <w:sz w:val="24"/>
          <w:szCs w:val="24"/>
        </w:rPr>
        <w:t xml:space="preserve"> (</w:t>
      </w:r>
      <w:proofErr w:type="spellStart"/>
      <w:r w:rsidRPr="00BE7A8C">
        <w:rPr>
          <w:sz w:val="24"/>
          <w:szCs w:val="24"/>
        </w:rPr>
        <w:t>habitualmente</w:t>
      </w:r>
      <w:proofErr w:type="spellEnd"/>
      <w:r w:rsidRPr="00BE7A8C">
        <w:rPr>
          <w:sz w:val="24"/>
          <w:szCs w:val="24"/>
        </w:rPr>
        <w:t xml:space="preserve"> 48-72horas </w:t>
      </w:r>
      <w:proofErr w:type="spellStart"/>
      <w:r w:rsidRPr="00BE7A8C">
        <w:rPr>
          <w:sz w:val="24"/>
          <w:szCs w:val="24"/>
        </w:rPr>
        <w:t>postoperatorias</w:t>
      </w:r>
      <w:proofErr w:type="spellEnd"/>
      <w:r w:rsidRPr="00BE7A8C">
        <w:rPr>
          <w:sz w:val="24"/>
          <w:szCs w:val="24"/>
        </w:rPr>
        <w:t xml:space="preserve">) y con un </w:t>
      </w:r>
      <w:proofErr w:type="spellStart"/>
      <w:r w:rsidRPr="00BE7A8C">
        <w:rPr>
          <w:sz w:val="24"/>
          <w:szCs w:val="24"/>
        </w:rPr>
        <w:t>intervalo</w:t>
      </w:r>
      <w:proofErr w:type="spellEnd"/>
      <w:r w:rsidRPr="00BE7A8C">
        <w:rPr>
          <w:sz w:val="24"/>
          <w:szCs w:val="24"/>
        </w:rPr>
        <w:t xml:space="preserve"> de 12h respecto la última dosis de HBPM </w:t>
      </w:r>
      <w:proofErr w:type="spellStart"/>
      <w:r w:rsidRPr="00BE7A8C">
        <w:rPr>
          <w:sz w:val="24"/>
          <w:szCs w:val="24"/>
        </w:rPr>
        <w:t>profiláctica</w:t>
      </w:r>
      <w:proofErr w:type="spellEnd"/>
      <w:r w:rsidRPr="00BE7A8C">
        <w:rPr>
          <w:sz w:val="24"/>
          <w:szCs w:val="24"/>
        </w:rPr>
        <w:t xml:space="preserve"> o 24h si la última dosis de HBPM era </w:t>
      </w:r>
      <w:proofErr w:type="spellStart"/>
      <w:r w:rsidRPr="00BE7A8C">
        <w:rPr>
          <w:sz w:val="24"/>
          <w:szCs w:val="24"/>
        </w:rPr>
        <w:t>anticoagulante</w:t>
      </w:r>
      <w:proofErr w:type="spellEnd"/>
      <w:r w:rsidRPr="00BE7A8C">
        <w:rPr>
          <w:sz w:val="24"/>
          <w:szCs w:val="24"/>
        </w:rPr>
        <w:t xml:space="preserve"> (</w:t>
      </w:r>
      <w:proofErr w:type="spellStart"/>
      <w:r w:rsidRPr="00BE7A8C">
        <w:rPr>
          <w:sz w:val="24"/>
          <w:szCs w:val="24"/>
        </w:rPr>
        <w:t>sin</w:t>
      </w:r>
      <w:proofErr w:type="spellEnd"/>
      <w:r w:rsidRPr="00BE7A8C">
        <w:rPr>
          <w:sz w:val="24"/>
          <w:szCs w:val="24"/>
        </w:rPr>
        <w:t xml:space="preserve"> solapar los 2 </w:t>
      </w:r>
      <w:proofErr w:type="spellStart"/>
      <w:r w:rsidRPr="00BE7A8C">
        <w:rPr>
          <w:sz w:val="24"/>
          <w:szCs w:val="24"/>
        </w:rPr>
        <w:t>fármacos</w:t>
      </w:r>
      <w:proofErr w:type="spellEnd"/>
      <w:r w:rsidRPr="00BE7A8C">
        <w:rPr>
          <w:sz w:val="24"/>
          <w:szCs w:val="24"/>
        </w:rPr>
        <w:t>)</w:t>
      </w:r>
      <w:r w:rsidRPr="00BE7A8C">
        <w:rPr>
          <w:sz w:val="24"/>
          <w:szCs w:val="24"/>
          <w:vertAlign w:val="superscript"/>
        </w:rPr>
        <w:t>5,9</w:t>
      </w:r>
      <w:r w:rsidRPr="00BE7A8C">
        <w:rPr>
          <w:sz w:val="24"/>
          <w:szCs w:val="24"/>
        </w:rPr>
        <w:t>.</w:t>
      </w:r>
      <w:r w:rsidR="009F1FC0">
        <w:rPr>
          <w:sz w:val="24"/>
          <w:szCs w:val="24"/>
        </w:rPr>
        <w:t xml:space="preserve"> (</w:t>
      </w:r>
      <w:r w:rsidR="009F1FC0" w:rsidRPr="009F1FC0">
        <w:t>figura 4)</w:t>
      </w:r>
    </w:p>
    <w:p w14:paraId="52FB7AA3" w14:textId="179EF0DB" w:rsidR="00EA3EE6" w:rsidRDefault="00EA3EE6" w:rsidP="00BE7A8C">
      <w:pPr>
        <w:pStyle w:val="Prrafodelista"/>
        <w:ind w:left="1080"/>
      </w:pPr>
    </w:p>
    <w:p w14:paraId="41D4561E" w14:textId="77777777" w:rsidR="009700FC" w:rsidRDefault="009700FC" w:rsidP="009700FC">
      <w:pPr>
        <w:pStyle w:val="Ttulo1"/>
      </w:pPr>
      <w:bookmarkStart w:id="2" w:name="_Toc135908232"/>
      <w:r>
        <w:t>Bibliografia</w:t>
      </w:r>
      <w:bookmarkEnd w:id="2"/>
    </w:p>
    <w:p w14:paraId="6D46257B" w14:textId="77777777" w:rsidR="00DA6FAB" w:rsidRPr="00DA6FAB" w:rsidRDefault="00DA6FAB" w:rsidP="00DA6FAB">
      <w:pPr>
        <w:pStyle w:val="Prrafodelista"/>
        <w:numPr>
          <w:ilvl w:val="0"/>
          <w:numId w:val="17"/>
        </w:numPr>
        <w:spacing w:after="160" w:line="259" w:lineRule="auto"/>
        <w:rPr>
          <w:rFonts w:cs="Arial"/>
        </w:rPr>
      </w:pPr>
      <w:r w:rsidRPr="00DA6FAB">
        <w:rPr>
          <w:rFonts w:cs="Arial"/>
        </w:rPr>
        <w:t xml:space="preserve">HIP </w:t>
      </w:r>
      <w:proofErr w:type="spellStart"/>
      <w:r w:rsidRPr="00DA6FAB">
        <w:rPr>
          <w:rFonts w:cs="Arial"/>
        </w:rPr>
        <w:t>Attack</w:t>
      </w:r>
      <w:proofErr w:type="spellEnd"/>
      <w:r w:rsidRPr="00DA6FAB">
        <w:rPr>
          <w:rFonts w:cs="Arial"/>
        </w:rPr>
        <w:t xml:space="preserve"> </w:t>
      </w:r>
      <w:proofErr w:type="spellStart"/>
      <w:r w:rsidRPr="00DA6FAB">
        <w:rPr>
          <w:rFonts w:cs="Arial"/>
        </w:rPr>
        <w:t>investigators</w:t>
      </w:r>
      <w:proofErr w:type="spellEnd"/>
      <w:r w:rsidRPr="00DA6FAB">
        <w:rPr>
          <w:rFonts w:cs="Arial"/>
        </w:rPr>
        <w:t xml:space="preserve">. </w:t>
      </w:r>
      <w:proofErr w:type="spellStart"/>
      <w:r w:rsidRPr="00DA6FAB">
        <w:rPr>
          <w:rFonts w:cs="Arial"/>
        </w:rPr>
        <w:t>Accelerated</w:t>
      </w:r>
      <w:proofErr w:type="spellEnd"/>
      <w:r w:rsidRPr="00DA6FAB">
        <w:rPr>
          <w:rFonts w:cs="Arial"/>
        </w:rPr>
        <w:t xml:space="preserve"> </w:t>
      </w:r>
      <w:proofErr w:type="spellStart"/>
      <w:r w:rsidRPr="00DA6FAB">
        <w:rPr>
          <w:rFonts w:cs="Arial"/>
        </w:rPr>
        <w:t>surgery</w:t>
      </w:r>
      <w:proofErr w:type="spellEnd"/>
      <w:r w:rsidRPr="00DA6FAB">
        <w:rPr>
          <w:rFonts w:cs="Arial"/>
        </w:rPr>
        <w:t xml:space="preserve"> versus </w:t>
      </w:r>
      <w:proofErr w:type="spellStart"/>
      <w:r w:rsidRPr="00DA6FAB">
        <w:rPr>
          <w:rFonts w:cs="Arial"/>
        </w:rPr>
        <w:t>standard</w:t>
      </w:r>
      <w:proofErr w:type="spellEnd"/>
      <w:r w:rsidRPr="00DA6FAB">
        <w:rPr>
          <w:rFonts w:cs="Arial"/>
        </w:rPr>
        <w:t xml:space="preserve"> </w:t>
      </w:r>
      <w:proofErr w:type="spellStart"/>
      <w:r w:rsidRPr="00DA6FAB">
        <w:rPr>
          <w:rFonts w:cs="Arial"/>
        </w:rPr>
        <w:t>care</w:t>
      </w:r>
      <w:proofErr w:type="spellEnd"/>
      <w:r w:rsidRPr="00DA6FAB">
        <w:rPr>
          <w:rFonts w:cs="Arial"/>
        </w:rPr>
        <w:t xml:space="preserve"> in </w:t>
      </w:r>
      <w:proofErr w:type="spellStart"/>
      <w:r w:rsidRPr="00DA6FAB">
        <w:rPr>
          <w:rFonts w:cs="Arial"/>
        </w:rPr>
        <w:t>hip</w:t>
      </w:r>
      <w:proofErr w:type="spellEnd"/>
      <w:r w:rsidRPr="00DA6FAB">
        <w:rPr>
          <w:rFonts w:cs="Arial"/>
        </w:rPr>
        <w:t xml:space="preserve"> </w:t>
      </w:r>
      <w:proofErr w:type="spellStart"/>
      <w:r w:rsidRPr="00DA6FAB">
        <w:rPr>
          <w:rFonts w:cs="Arial"/>
        </w:rPr>
        <w:t>fracture</w:t>
      </w:r>
      <w:proofErr w:type="spellEnd"/>
      <w:r w:rsidRPr="00DA6FAB">
        <w:rPr>
          <w:rFonts w:cs="Arial"/>
        </w:rPr>
        <w:t xml:space="preserve"> (HIP ATTACK): </w:t>
      </w:r>
      <w:proofErr w:type="spellStart"/>
      <w:r w:rsidRPr="00DA6FAB">
        <w:rPr>
          <w:rFonts w:cs="Arial"/>
        </w:rPr>
        <w:t>an</w:t>
      </w:r>
      <w:proofErr w:type="spellEnd"/>
      <w:r w:rsidRPr="00DA6FAB">
        <w:rPr>
          <w:rFonts w:cs="Arial"/>
        </w:rPr>
        <w:t xml:space="preserve"> </w:t>
      </w:r>
      <w:proofErr w:type="spellStart"/>
      <w:r w:rsidRPr="00DA6FAB">
        <w:rPr>
          <w:rFonts w:cs="Arial"/>
        </w:rPr>
        <w:t>international</w:t>
      </w:r>
      <w:proofErr w:type="spellEnd"/>
      <w:r w:rsidRPr="00DA6FAB">
        <w:rPr>
          <w:rFonts w:cs="Arial"/>
        </w:rPr>
        <w:t xml:space="preserve">, </w:t>
      </w:r>
      <w:proofErr w:type="spellStart"/>
      <w:r w:rsidRPr="00DA6FAB">
        <w:rPr>
          <w:rFonts w:cs="Arial"/>
        </w:rPr>
        <w:t>randomised</w:t>
      </w:r>
      <w:proofErr w:type="spellEnd"/>
      <w:r w:rsidRPr="00DA6FAB">
        <w:rPr>
          <w:rFonts w:cs="Arial"/>
        </w:rPr>
        <w:t xml:space="preserve">, </w:t>
      </w:r>
      <w:proofErr w:type="spellStart"/>
      <w:r w:rsidRPr="00DA6FAB">
        <w:rPr>
          <w:rFonts w:cs="Arial"/>
        </w:rPr>
        <w:t>controlled</w:t>
      </w:r>
      <w:proofErr w:type="spellEnd"/>
      <w:r w:rsidRPr="00DA6FAB">
        <w:rPr>
          <w:rFonts w:cs="Arial"/>
        </w:rPr>
        <w:t xml:space="preserve"> trial. </w:t>
      </w:r>
      <w:proofErr w:type="spellStart"/>
      <w:r w:rsidRPr="00DA6FAB">
        <w:rPr>
          <w:rFonts w:cs="Arial"/>
        </w:rPr>
        <w:t>Lancet</w:t>
      </w:r>
      <w:proofErr w:type="spellEnd"/>
      <w:r w:rsidRPr="00DA6FAB">
        <w:rPr>
          <w:rFonts w:cs="Arial"/>
        </w:rPr>
        <w:t xml:space="preserve"> 2020; 395: 698–708.</w:t>
      </w:r>
    </w:p>
    <w:p w14:paraId="3718C344" w14:textId="58127C0C" w:rsidR="00DA6FAB" w:rsidRPr="009C54F2" w:rsidRDefault="00DA6FAB" w:rsidP="00DA6FAB">
      <w:pPr>
        <w:pStyle w:val="Prrafodelista"/>
        <w:numPr>
          <w:ilvl w:val="0"/>
          <w:numId w:val="17"/>
        </w:numPr>
        <w:spacing w:after="160" w:line="259" w:lineRule="auto"/>
        <w:rPr>
          <w:rFonts w:cs="Arial"/>
        </w:rPr>
      </w:pPr>
      <w:proofErr w:type="spellStart"/>
      <w:r w:rsidRPr="009C54F2">
        <w:rPr>
          <w:rFonts w:cs="Arial"/>
        </w:rPr>
        <w:t>Griffiths</w:t>
      </w:r>
      <w:proofErr w:type="spellEnd"/>
      <w:r w:rsidRPr="009C54F2">
        <w:rPr>
          <w:rFonts w:cs="Arial"/>
        </w:rPr>
        <w:t xml:space="preserve"> et al. </w:t>
      </w:r>
      <w:proofErr w:type="spellStart"/>
      <w:r w:rsidRPr="009C54F2">
        <w:rPr>
          <w:rFonts w:cs="Arial"/>
        </w:rPr>
        <w:t>Guidelines</w:t>
      </w:r>
      <w:proofErr w:type="spellEnd"/>
      <w:r w:rsidR="001A741B" w:rsidRPr="009C54F2">
        <w:rPr>
          <w:rFonts w:cs="Arial"/>
        </w:rPr>
        <w:t xml:space="preserve"> for </w:t>
      </w:r>
      <w:proofErr w:type="spellStart"/>
      <w:r w:rsidR="001A741B" w:rsidRPr="009C54F2">
        <w:rPr>
          <w:rFonts w:cs="Arial"/>
        </w:rPr>
        <w:t>the</w:t>
      </w:r>
      <w:proofErr w:type="spellEnd"/>
      <w:r w:rsidR="001A741B" w:rsidRPr="009C54F2">
        <w:rPr>
          <w:rFonts w:cs="Arial"/>
        </w:rPr>
        <w:t xml:space="preserve"> management of </w:t>
      </w:r>
      <w:proofErr w:type="spellStart"/>
      <w:r w:rsidRPr="009C54F2">
        <w:rPr>
          <w:rFonts w:cs="Arial"/>
        </w:rPr>
        <w:t>hip</w:t>
      </w:r>
      <w:proofErr w:type="spellEnd"/>
      <w:r w:rsidRPr="009C54F2">
        <w:rPr>
          <w:rFonts w:cs="Arial"/>
        </w:rPr>
        <w:t xml:space="preserve"> fractures</w:t>
      </w:r>
      <w:r w:rsidR="001A741B" w:rsidRPr="009C54F2">
        <w:rPr>
          <w:rFonts w:cs="Arial"/>
        </w:rPr>
        <w:t xml:space="preserve"> 2020</w:t>
      </w:r>
      <w:r w:rsidRPr="009C54F2">
        <w:rPr>
          <w:rFonts w:cs="Arial"/>
        </w:rPr>
        <w:t xml:space="preserve">. </w:t>
      </w:r>
      <w:proofErr w:type="spellStart"/>
      <w:r w:rsidR="00F074CF" w:rsidRPr="009C54F2">
        <w:t>Anaesthesia</w:t>
      </w:r>
      <w:proofErr w:type="spellEnd"/>
      <w:r w:rsidR="00F074CF" w:rsidRPr="009C54F2">
        <w:t xml:space="preserve"> 2021;</w:t>
      </w:r>
      <w:r w:rsidR="001A741B" w:rsidRPr="009C54F2">
        <w:t>76, 225–237</w:t>
      </w:r>
    </w:p>
    <w:p w14:paraId="4C07CA9D" w14:textId="2FBD7D40" w:rsidR="00DA6FAB" w:rsidRPr="009C54F2" w:rsidRDefault="00DA6FAB" w:rsidP="00DA6FAB">
      <w:pPr>
        <w:pStyle w:val="Prrafodelista"/>
        <w:numPr>
          <w:ilvl w:val="0"/>
          <w:numId w:val="17"/>
        </w:numPr>
        <w:spacing w:after="160" w:line="259" w:lineRule="auto"/>
        <w:rPr>
          <w:rFonts w:cs="Arial"/>
        </w:rPr>
      </w:pPr>
      <w:r w:rsidRPr="009C54F2">
        <w:rPr>
          <w:rFonts w:cs="Arial"/>
          <w:color w:val="222222"/>
          <w:shd w:val="clear" w:color="auto" w:fill="FFFFFF"/>
        </w:rPr>
        <w:t>Klestil T et al. </w:t>
      </w:r>
      <w:proofErr w:type="spellStart"/>
      <w:r w:rsidRPr="009C54F2">
        <w:rPr>
          <w:rFonts w:cs="Arial"/>
          <w:color w:val="222222"/>
          <w:shd w:val="clear" w:color="auto" w:fill="FFFFFF"/>
        </w:rPr>
        <w:t>Impact</w:t>
      </w:r>
      <w:proofErr w:type="spellEnd"/>
      <w:r w:rsidRPr="009C54F2">
        <w:rPr>
          <w:rFonts w:cs="Arial"/>
          <w:color w:val="222222"/>
          <w:shd w:val="clear" w:color="auto" w:fill="FFFFFF"/>
        </w:rPr>
        <w:t xml:space="preserve"> of </w:t>
      </w:r>
      <w:proofErr w:type="spellStart"/>
      <w:r w:rsidRPr="009C54F2">
        <w:rPr>
          <w:rFonts w:cs="Arial"/>
          <w:color w:val="222222"/>
          <w:shd w:val="clear" w:color="auto" w:fill="FFFFFF"/>
        </w:rPr>
        <w:t>timing</w:t>
      </w:r>
      <w:proofErr w:type="spellEnd"/>
      <w:r w:rsidRPr="009C54F2">
        <w:rPr>
          <w:rFonts w:cs="Arial"/>
          <w:color w:val="222222"/>
          <w:shd w:val="clear" w:color="auto" w:fill="FFFFFF"/>
        </w:rPr>
        <w:t xml:space="preserve"> of </w:t>
      </w:r>
      <w:proofErr w:type="spellStart"/>
      <w:r w:rsidRPr="009C54F2">
        <w:rPr>
          <w:rFonts w:cs="Arial"/>
          <w:color w:val="222222"/>
          <w:shd w:val="clear" w:color="auto" w:fill="FFFFFF"/>
        </w:rPr>
        <w:t>surgery</w:t>
      </w:r>
      <w:proofErr w:type="spellEnd"/>
      <w:r w:rsidRPr="009C54F2">
        <w:rPr>
          <w:rFonts w:cs="Arial"/>
          <w:color w:val="222222"/>
          <w:shd w:val="clear" w:color="auto" w:fill="FFFFFF"/>
        </w:rPr>
        <w:t xml:space="preserve"> in </w:t>
      </w:r>
      <w:proofErr w:type="spellStart"/>
      <w:r w:rsidRPr="009C54F2">
        <w:rPr>
          <w:rFonts w:cs="Arial"/>
          <w:color w:val="222222"/>
          <w:shd w:val="clear" w:color="auto" w:fill="FFFFFF"/>
        </w:rPr>
        <w:t>elderly</w:t>
      </w:r>
      <w:proofErr w:type="spellEnd"/>
      <w:r w:rsidRPr="009C54F2">
        <w:rPr>
          <w:rFonts w:cs="Arial"/>
          <w:color w:val="222222"/>
          <w:shd w:val="clear" w:color="auto" w:fill="FFFFFF"/>
        </w:rPr>
        <w:t xml:space="preserve"> </w:t>
      </w:r>
      <w:proofErr w:type="spellStart"/>
      <w:r w:rsidRPr="009C54F2">
        <w:rPr>
          <w:rFonts w:cs="Arial"/>
          <w:color w:val="222222"/>
          <w:shd w:val="clear" w:color="auto" w:fill="FFFFFF"/>
        </w:rPr>
        <w:t>hip</w:t>
      </w:r>
      <w:proofErr w:type="spellEnd"/>
      <w:r w:rsidRPr="009C54F2">
        <w:rPr>
          <w:rFonts w:cs="Arial"/>
          <w:color w:val="222222"/>
          <w:shd w:val="clear" w:color="auto" w:fill="FFFFFF"/>
        </w:rPr>
        <w:t xml:space="preserve"> </w:t>
      </w:r>
      <w:proofErr w:type="spellStart"/>
      <w:r w:rsidRPr="009C54F2">
        <w:rPr>
          <w:rFonts w:cs="Arial"/>
          <w:color w:val="222222"/>
          <w:shd w:val="clear" w:color="auto" w:fill="FFFFFF"/>
        </w:rPr>
        <w:t>fracture</w:t>
      </w:r>
      <w:proofErr w:type="spellEnd"/>
      <w:r w:rsidRPr="009C54F2">
        <w:rPr>
          <w:rFonts w:cs="Arial"/>
          <w:color w:val="222222"/>
          <w:shd w:val="clear" w:color="auto" w:fill="FFFFFF"/>
        </w:rPr>
        <w:t xml:space="preserve"> </w:t>
      </w:r>
      <w:proofErr w:type="spellStart"/>
      <w:r w:rsidRPr="009C54F2">
        <w:rPr>
          <w:rFonts w:cs="Arial"/>
          <w:color w:val="222222"/>
          <w:shd w:val="clear" w:color="auto" w:fill="FFFFFF"/>
        </w:rPr>
        <w:t>patients</w:t>
      </w:r>
      <w:proofErr w:type="spellEnd"/>
      <w:r w:rsidRPr="009C54F2">
        <w:rPr>
          <w:rFonts w:cs="Arial"/>
          <w:color w:val="222222"/>
          <w:shd w:val="clear" w:color="auto" w:fill="FFFFFF"/>
        </w:rPr>
        <w:t xml:space="preserve">: a </w:t>
      </w:r>
      <w:proofErr w:type="spellStart"/>
      <w:r w:rsidRPr="009C54F2">
        <w:rPr>
          <w:rFonts w:cs="Arial"/>
          <w:color w:val="222222"/>
          <w:shd w:val="clear" w:color="auto" w:fill="FFFFFF"/>
        </w:rPr>
        <w:t>systematic</w:t>
      </w:r>
      <w:proofErr w:type="spellEnd"/>
      <w:r w:rsidRPr="009C54F2">
        <w:rPr>
          <w:rFonts w:cs="Arial"/>
          <w:color w:val="222222"/>
          <w:shd w:val="clear" w:color="auto" w:fill="FFFFFF"/>
        </w:rPr>
        <w:t xml:space="preserve"> </w:t>
      </w:r>
      <w:proofErr w:type="spellStart"/>
      <w:r w:rsidRPr="009C54F2">
        <w:rPr>
          <w:rFonts w:cs="Arial"/>
          <w:color w:val="222222"/>
          <w:shd w:val="clear" w:color="auto" w:fill="FFFFFF"/>
        </w:rPr>
        <w:t>review</w:t>
      </w:r>
      <w:proofErr w:type="spellEnd"/>
      <w:r w:rsidRPr="009C54F2">
        <w:rPr>
          <w:rFonts w:cs="Arial"/>
          <w:color w:val="222222"/>
          <w:shd w:val="clear" w:color="auto" w:fill="FFFFFF"/>
        </w:rPr>
        <w:t xml:space="preserve"> </w:t>
      </w:r>
      <w:proofErr w:type="spellStart"/>
      <w:r w:rsidRPr="009C54F2">
        <w:rPr>
          <w:rFonts w:cs="Arial"/>
          <w:color w:val="222222"/>
          <w:shd w:val="clear" w:color="auto" w:fill="FFFFFF"/>
        </w:rPr>
        <w:t>and</w:t>
      </w:r>
      <w:proofErr w:type="spellEnd"/>
      <w:r w:rsidRPr="009C54F2">
        <w:rPr>
          <w:rFonts w:cs="Arial"/>
          <w:color w:val="222222"/>
          <w:shd w:val="clear" w:color="auto" w:fill="FFFFFF"/>
        </w:rPr>
        <w:t xml:space="preserve"> meta-</w:t>
      </w:r>
      <w:proofErr w:type="spellStart"/>
      <w:r w:rsidRPr="009C54F2">
        <w:rPr>
          <w:rFonts w:cs="Arial"/>
          <w:color w:val="222222"/>
          <w:shd w:val="clear" w:color="auto" w:fill="FFFFFF"/>
        </w:rPr>
        <w:t>analysis</w:t>
      </w:r>
      <w:proofErr w:type="spellEnd"/>
      <w:r w:rsidRPr="009C54F2">
        <w:rPr>
          <w:rFonts w:cs="Arial"/>
          <w:color w:val="222222"/>
          <w:shd w:val="clear" w:color="auto" w:fill="FFFFFF"/>
        </w:rPr>
        <w:t>. </w:t>
      </w:r>
      <w:proofErr w:type="spellStart"/>
      <w:r w:rsidRPr="009C54F2">
        <w:rPr>
          <w:rFonts w:cs="Arial"/>
          <w:color w:val="222222"/>
          <w:shd w:val="clear" w:color="auto" w:fill="FFFFFF"/>
        </w:rPr>
        <w:t>Sci</w:t>
      </w:r>
      <w:proofErr w:type="spellEnd"/>
      <w:r w:rsidRPr="009C54F2">
        <w:rPr>
          <w:rFonts w:cs="Arial"/>
          <w:color w:val="222222"/>
          <w:shd w:val="clear" w:color="auto" w:fill="FFFFFF"/>
        </w:rPr>
        <w:t xml:space="preserve"> Rep </w:t>
      </w:r>
      <w:r w:rsidR="00F074CF" w:rsidRPr="009C54F2">
        <w:rPr>
          <w:rFonts w:cs="Arial"/>
          <w:color w:val="222222"/>
          <w:shd w:val="clear" w:color="auto" w:fill="FFFFFF"/>
        </w:rPr>
        <w:t xml:space="preserve"> 2018;8:</w:t>
      </w:r>
      <w:r w:rsidRPr="009C54F2">
        <w:rPr>
          <w:rFonts w:cs="Arial"/>
          <w:color w:val="222222"/>
          <w:shd w:val="clear" w:color="auto" w:fill="FFFFFF"/>
        </w:rPr>
        <w:t xml:space="preserve">13933 </w:t>
      </w:r>
    </w:p>
    <w:p w14:paraId="61F4CABD" w14:textId="77777777" w:rsidR="00DA6FAB" w:rsidRPr="00DA6FAB" w:rsidRDefault="00DA6FAB" w:rsidP="00DA6FAB">
      <w:pPr>
        <w:pStyle w:val="Prrafodelista"/>
        <w:numPr>
          <w:ilvl w:val="0"/>
          <w:numId w:val="17"/>
        </w:numPr>
        <w:spacing w:after="160" w:line="259" w:lineRule="auto"/>
        <w:rPr>
          <w:rFonts w:cs="Arial"/>
        </w:rPr>
      </w:pPr>
      <w:r w:rsidRPr="00DA6FAB">
        <w:rPr>
          <w:rFonts w:cs="Arial"/>
        </w:rPr>
        <w:t xml:space="preserve">Brown et al. </w:t>
      </w:r>
      <w:proofErr w:type="spellStart"/>
      <w:r w:rsidRPr="00DA6FAB">
        <w:rPr>
          <w:rFonts w:cs="Arial"/>
        </w:rPr>
        <w:t>Expedited</w:t>
      </w:r>
      <w:proofErr w:type="spellEnd"/>
      <w:r w:rsidRPr="00DA6FAB">
        <w:rPr>
          <w:rFonts w:cs="Arial"/>
        </w:rPr>
        <w:t xml:space="preserve"> </w:t>
      </w:r>
      <w:proofErr w:type="spellStart"/>
      <w:r w:rsidRPr="00DA6FAB">
        <w:rPr>
          <w:rFonts w:cs="Arial"/>
        </w:rPr>
        <w:t>surgery</w:t>
      </w:r>
      <w:proofErr w:type="spellEnd"/>
      <w:r w:rsidRPr="00DA6FAB">
        <w:rPr>
          <w:rFonts w:cs="Arial"/>
        </w:rPr>
        <w:t xml:space="preserve"> in </w:t>
      </w:r>
      <w:proofErr w:type="spellStart"/>
      <w:r w:rsidRPr="00DA6FAB">
        <w:rPr>
          <w:rFonts w:cs="Arial"/>
        </w:rPr>
        <w:t>geriatric</w:t>
      </w:r>
      <w:proofErr w:type="spellEnd"/>
      <w:r w:rsidRPr="00DA6FAB">
        <w:rPr>
          <w:rFonts w:cs="Arial"/>
        </w:rPr>
        <w:t xml:space="preserve"> </w:t>
      </w:r>
      <w:proofErr w:type="spellStart"/>
      <w:r w:rsidRPr="00DA6FAB">
        <w:rPr>
          <w:rFonts w:cs="Arial"/>
        </w:rPr>
        <w:t>hip</w:t>
      </w:r>
      <w:proofErr w:type="spellEnd"/>
      <w:r w:rsidRPr="00DA6FAB">
        <w:rPr>
          <w:rFonts w:cs="Arial"/>
        </w:rPr>
        <w:t xml:space="preserve"> </w:t>
      </w:r>
      <w:proofErr w:type="spellStart"/>
      <w:r w:rsidRPr="00DA6FAB">
        <w:rPr>
          <w:rFonts w:cs="Arial"/>
        </w:rPr>
        <w:t>fracture</w:t>
      </w:r>
      <w:proofErr w:type="spellEnd"/>
      <w:r w:rsidRPr="00DA6FAB">
        <w:rPr>
          <w:rFonts w:cs="Arial"/>
        </w:rPr>
        <w:t xml:space="preserve"> </w:t>
      </w:r>
      <w:proofErr w:type="spellStart"/>
      <w:r w:rsidRPr="00DA6FAB">
        <w:rPr>
          <w:rFonts w:cs="Arial"/>
        </w:rPr>
        <w:t>patients</w:t>
      </w:r>
      <w:proofErr w:type="spellEnd"/>
      <w:r w:rsidRPr="00DA6FAB">
        <w:rPr>
          <w:rFonts w:cs="Arial"/>
        </w:rPr>
        <w:t xml:space="preserve"> </w:t>
      </w:r>
      <w:proofErr w:type="spellStart"/>
      <w:r w:rsidRPr="00DA6FAB">
        <w:rPr>
          <w:rFonts w:cs="Arial"/>
        </w:rPr>
        <w:t>taking</w:t>
      </w:r>
      <w:proofErr w:type="spellEnd"/>
      <w:r w:rsidRPr="00DA6FAB">
        <w:rPr>
          <w:rFonts w:cs="Arial"/>
        </w:rPr>
        <w:t xml:space="preserve"> </w:t>
      </w:r>
      <w:proofErr w:type="spellStart"/>
      <w:r w:rsidRPr="00DA6FAB">
        <w:rPr>
          <w:rFonts w:cs="Arial"/>
        </w:rPr>
        <w:t>direct</w:t>
      </w:r>
      <w:proofErr w:type="spellEnd"/>
      <w:r w:rsidRPr="00DA6FAB">
        <w:rPr>
          <w:rFonts w:cs="Arial"/>
        </w:rPr>
        <w:t xml:space="preserve"> oral anticoagulants is </w:t>
      </w:r>
      <w:proofErr w:type="spellStart"/>
      <w:r w:rsidRPr="00DA6FAB">
        <w:rPr>
          <w:rFonts w:cs="Arial"/>
        </w:rPr>
        <w:t>not</w:t>
      </w:r>
      <w:proofErr w:type="spellEnd"/>
      <w:r w:rsidRPr="00DA6FAB">
        <w:rPr>
          <w:rFonts w:cs="Arial"/>
        </w:rPr>
        <w:t xml:space="preserve"> </w:t>
      </w:r>
      <w:proofErr w:type="spellStart"/>
      <w:r w:rsidRPr="00DA6FAB">
        <w:rPr>
          <w:rFonts w:cs="Arial"/>
        </w:rPr>
        <w:t>associated</w:t>
      </w:r>
      <w:proofErr w:type="spellEnd"/>
      <w:r w:rsidRPr="00DA6FAB">
        <w:rPr>
          <w:rFonts w:cs="Arial"/>
        </w:rPr>
        <w:t xml:space="preserve"> </w:t>
      </w:r>
      <w:proofErr w:type="spellStart"/>
      <w:r w:rsidRPr="00DA6FAB">
        <w:rPr>
          <w:rFonts w:cs="Arial"/>
        </w:rPr>
        <w:t>with</w:t>
      </w:r>
      <w:proofErr w:type="spellEnd"/>
      <w:r w:rsidRPr="00DA6FAB">
        <w:rPr>
          <w:rFonts w:cs="Arial"/>
        </w:rPr>
        <w:t xml:space="preserve"> </w:t>
      </w:r>
      <w:proofErr w:type="spellStart"/>
      <w:r w:rsidRPr="00DA6FAB">
        <w:rPr>
          <w:rFonts w:cs="Arial"/>
        </w:rPr>
        <w:t>increased</w:t>
      </w:r>
      <w:proofErr w:type="spellEnd"/>
      <w:r w:rsidRPr="00DA6FAB">
        <w:rPr>
          <w:rFonts w:cs="Arial"/>
        </w:rPr>
        <w:t xml:space="preserve"> </w:t>
      </w:r>
      <w:proofErr w:type="spellStart"/>
      <w:r w:rsidRPr="00DA6FAB">
        <w:rPr>
          <w:rFonts w:cs="Arial"/>
        </w:rPr>
        <w:t>short-term</w:t>
      </w:r>
      <w:proofErr w:type="spellEnd"/>
      <w:r w:rsidRPr="00DA6FAB">
        <w:rPr>
          <w:rFonts w:cs="Arial"/>
        </w:rPr>
        <w:t xml:space="preserve"> </w:t>
      </w:r>
      <w:proofErr w:type="spellStart"/>
      <w:r w:rsidRPr="00DA6FAB">
        <w:rPr>
          <w:rFonts w:cs="Arial"/>
        </w:rPr>
        <w:t>complications</w:t>
      </w:r>
      <w:proofErr w:type="spellEnd"/>
      <w:r w:rsidRPr="00DA6FAB">
        <w:rPr>
          <w:rFonts w:cs="Arial"/>
        </w:rPr>
        <w:t xml:space="preserve"> or </w:t>
      </w:r>
      <w:proofErr w:type="spellStart"/>
      <w:r w:rsidRPr="00DA6FAB">
        <w:rPr>
          <w:rFonts w:cs="Arial"/>
        </w:rPr>
        <w:t>mortality</w:t>
      </w:r>
      <w:proofErr w:type="spellEnd"/>
      <w:r w:rsidRPr="00DA6FAB">
        <w:rPr>
          <w:rFonts w:cs="Arial"/>
        </w:rPr>
        <w:t xml:space="preserve"> rates. OTA International (2020) e089</w:t>
      </w:r>
    </w:p>
    <w:p w14:paraId="0712AF79" w14:textId="77777777" w:rsidR="00DA6FAB" w:rsidRPr="00DA6FAB" w:rsidRDefault="00DA6FAB" w:rsidP="00DA6FAB">
      <w:pPr>
        <w:pStyle w:val="Prrafodelista"/>
        <w:numPr>
          <w:ilvl w:val="0"/>
          <w:numId w:val="17"/>
        </w:numPr>
        <w:spacing w:after="160" w:line="259" w:lineRule="auto"/>
        <w:rPr>
          <w:rStyle w:val="Hipervnculo"/>
          <w:color w:val="auto"/>
        </w:rPr>
      </w:pPr>
      <w:r w:rsidRPr="00DA6FAB">
        <w:rPr>
          <w:rFonts w:cs="Arial"/>
          <w:color w:val="222222"/>
          <w:shd w:val="clear" w:color="auto" w:fill="FFFFFF"/>
        </w:rPr>
        <w:t xml:space="preserve">Bassas E et al. </w:t>
      </w:r>
      <w:r w:rsidRPr="00DA6FAB">
        <w:rPr>
          <w:rFonts w:cs="Arial"/>
        </w:rPr>
        <w:t xml:space="preserve">Document de consens sobre el maneig </w:t>
      </w:r>
      <w:proofErr w:type="spellStart"/>
      <w:r w:rsidRPr="00DA6FAB">
        <w:rPr>
          <w:rFonts w:cs="Arial"/>
        </w:rPr>
        <w:t>perioperatori</w:t>
      </w:r>
      <w:proofErr w:type="spellEnd"/>
      <w:r w:rsidRPr="00DA6FAB">
        <w:rPr>
          <w:rFonts w:cs="Arial"/>
        </w:rPr>
        <w:t xml:space="preserve"> del tractament </w:t>
      </w:r>
      <w:proofErr w:type="spellStart"/>
      <w:r w:rsidRPr="00DA6FAB">
        <w:rPr>
          <w:rFonts w:cs="Arial"/>
        </w:rPr>
        <w:t>antitrombòtic</w:t>
      </w:r>
      <w:proofErr w:type="spellEnd"/>
      <w:r w:rsidRPr="00DA6FAB">
        <w:rPr>
          <w:rFonts w:cs="Arial"/>
        </w:rPr>
        <w:t xml:space="preserve"> en la fractura de maluc. </w:t>
      </w:r>
      <w:hyperlink r:id="rId18" w:history="1">
        <w:r w:rsidRPr="00DA6FAB">
          <w:rPr>
            <w:rStyle w:val="Hipervnculo"/>
          </w:rPr>
          <w:t>http://www.scartd.org/?p=page/html/detallnoticia/3298/004/2</w:t>
        </w:r>
      </w:hyperlink>
    </w:p>
    <w:p w14:paraId="72E25D44" w14:textId="68A651B3" w:rsidR="00DA6FAB" w:rsidRPr="00DA6FAB" w:rsidRDefault="00DA6FAB" w:rsidP="00DA6FAB">
      <w:pPr>
        <w:pStyle w:val="Prrafodelista"/>
        <w:numPr>
          <w:ilvl w:val="0"/>
          <w:numId w:val="17"/>
        </w:numPr>
        <w:spacing w:after="160" w:line="259" w:lineRule="auto"/>
        <w:rPr>
          <w:rFonts w:cs="Arial"/>
        </w:rPr>
      </w:pPr>
      <w:r w:rsidRPr="00DA6FAB">
        <w:t xml:space="preserve">Keeling D, </w:t>
      </w:r>
      <w:proofErr w:type="spellStart"/>
      <w:r w:rsidRPr="00DA6FAB">
        <w:t>Tait</w:t>
      </w:r>
      <w:proofErr w:type="spellEnd"/>
      <w:r w:rsidRPr="00DA6FAB">
        <w:t xml:space="preserve"> RC, Watson H; </w:t>
      </w:r>
      <w:proofErr w:type="spellStart"/>
      <w:r w:rsidRPr="00DA6FAB">
        <w:t>British</w:t>
      </w:r>
      <w:proofErr w:type="spellEnd"/>
      <w:r w:rsidRPr="00DA6FAB">
        <w:t xml:space="preserve"> </w:t>
      </w:r>
      <w:proofErr w:type="spellStart"/>
      <w:r w:rsidRPr="00DA6FAB">
        <w:t>Committee</w:t>
      </w:r>
      <w:proofErr w:type="spellEnd"/>
      <w:r w:rsidRPr="00DA6FAB">
        <w:t xml:space="preserve"> of </w:t>
      </w:r>
      <w:proofErr w:type="spellStart"/>
      <w:r w:rsidRPr="00DA6FAB">
        <w:t>Standards</w:t>
      </w:r>
      <w:proofErr w:type="spellEnd"/>
      <w:r w:rsidRPr="00DA6FAB">
        <w:t xml:space="preserve"> for </w:t>
      </w:r>
      <w:proofErr w:type="spellStart"/>
      <w:r w:rsidRPr="00DA6FAB">
        <w:t>Haematology</w:t>
      </w:r>
      <w:proofErr w:type="spellEnd"/>
      <w:r w:rsidRPr="00DA6FAB">
        <w:t xml:space="preserve">. </w:t>
      </w:r>
      <w:proofErr w:type="spellStart"/>
      <w:r w:rsidRPr="00DA6FAB">
        <w:t>Peri-operative</w:t>
      </w:r>
      <w:proofErr w:type="spellEnd"/>
      <w:r w:rsidRPr="00DA6FAB">
        <w:t xml:space="preserve"> management of </w:t>
      </w:r>
      <w:proofErr w:type="spellStart"/>
      <w:r w:rsidRPr="00DA6FAB">
        <w:t>anticoagulation</w:t>
      </w:r>
      <w:proofErr w:type="spellEnd"/>
      <w:r w:rsidRPr="00DA6FAB">
        <w:t xml:space="preserve"> </w:t>
      </w:r>
      <w:proofErr w:type="spellStart"/>
      <w:r w:rsidRPr="00DA6FAB">
        <w:t>and</w:t>
      </w:r>
      <w:proofErr w:type="spellEnd"/>
      <w:r w:rsidRPr="00DA6FAB">
        <w:t xml:space="preserve"> </w:t>
      </w:r>
      <w:proofErr w:type="spellStart"/>
      <w:r w:rsidRPr="00DA6FAB">
        <w:t>antiplatele</w:t>
      </w:r>
      <w:r w:rsidR="00F074CF">
        <w:t>t</w:t>
      </w:r>
      <w:proofErr w:type="spellEnd"/>
      <w:r w:rsidR="00F074CF">
        <w:t xml:space="preserve"> </w:t>
      </w:r>
      <w:proofErr w:type="spellStart"/>
      <w:r w:rsidR="00F074CF">
        <w:t>therapy</w:t>
      </w:r>
      <w:proofErr w:type="spellEnd"/>
      <w:r w:rsidR="00F074CF">
        <w:t xml:space="preserve">. Br J </w:t>
      </w:r>
      <w:proofErr w:type="spellStart"/>
      <w:r w:rsidR="00F074CF">
        <w:t>Haematol</w:t>
      </w:r>
      <w:proofErr w:type="spellEnd"/>
      <w:r w:rsidR="00F074CF">
        <w:t>. 2016;</w:t>
      </w:r>
      <w:r w:rsidRPr="00DA6FAB">
        <w:t xml:space="preserve">175:602-13. </w:t>
      </w:r>
    </w:p>
    <w:p w14:paraId="7120EF43" w14:textId="77777777" w:rsidR="00DA6FAB" w:rsidRPr="00DA6FAB" w:rsidRDefault="00DA6FAB" w:rsidP="00DA6FAB">
      <w:pPr>
        <w:pStyle w:val="Prrafodelista"/>
        <w:numPr>
          <w:ilvl w:val="0"/>
          <w:numId w:val="17"/>
        </w:numPr>
        <w:spacing w:after="160" w:line="259" w:lineRule="auto"/>
        <w:rPr>
          <w:rFonts w:cs="Arial"/>
        </w:rPr>
      </w:pPr>
      <w:r w:rsidRPr="00DA6FAB">
        <w:t xml:space="preserve">Sierra P et al. </w:t>
      </w:r>
      <w:proofErr w:type="spellStart"/>
      <w:r w:rsidRPr="00DA6FAB">
        <w:t>Recomendaciones</w:t>
      </w:r>
      <w:proofErr w:type="spellEnd"/>
      <w:r w:rsidRPr="00DA6FAB">
        <w:t xml:space="preserve"> de manejo </w:t>
      </w:r>
      <w:proofErr w:type="spellStart"/>
      <w:r w:rsidRPr="00DA6FAB">
        <w:t>perioperatorio</w:t>
      </w:r>
      <w:proofErr w:type="spellEnd"/>
      <w:r w:rsidRPr="00DA6FAB">
        <w:t xml:space="preserve"> de </w:t>
      </w:r>
      <w:proofErr w:type="spellStart"/>
      <w:r w:rsidRPr="00DA6FAB">
        <w:t>antiagregantes</w:t>
      </w:r>
      <w:proofErr w:type="spellEnd"/>
      <w:r w:rsidRPr="00DA6FAB">
        <w:t xml:space="preserve"> </w:t>
      </w:r>
      <w:proofErr w:type="spellStart"/>
      <w:r w:rsidRPr="00DA6FAB">
        <w:t>plaquetarios</w:t>
      </w:r>
      <w:proofErr w:type="spellEnd"/>
      <w:r w:rsidRPr="00DA6FAB">
        <w:t xml:space="preserve"> en </w:t>
      </w:r>
      <w:proofErr w:type="spellStart"/>
      <w:r w:rsidRPr="00DA6FAB">
        <w:t>cirugía</w:t>
      </w:r>
      <w:proofErr w:type="spellEnd"/>
      <w:r w:rsidRPr="00DA6FAB">
        <w:t xml:space="preserve"> no cardíaca. Grupo de </w:t>
      </w:r>
      <w:proofErr w:type="spellStart"/>
      <w:r w:rsidRPr="00DA6FAB">
        <w:t>trabajo</w:t>
      </w:r>
      <w:proofErr w:type="spellEnd"/>
      <w:r w:rsidRPr="00DA6FAB">
        <w:t xml:space="preserve"> de la </w:t>
      </w:r>
      <w:proofErr w:type="spellStart"/>
      <w:r w:rsidRPr="00DA6FAB">
        <w:t>Sección</w:t>
      </w:r>
      <w:proofErr w:type="spellEnd"/>
      <w:r w:rsidRPr="00DA6FAB">
        <w:t xml:space="preserve"> de </w:t>
      </w:r>
      <w:proofErr w:type="spellStart"/>
      <w:r w:rsidRPr="00DA6FAB">
        <w:t>Hemostasia</w:t>
      </w:r>
      <w:proofErr w:type="spellEnd"/>
      <w:r w:rsidRPr="00DA6FAB">
        <w:t xml:space="preserve">, Medicina </w:t>
      </w:r>
      <w:proofErr w:type="spellStart"/>
      <w:r w:rsidRPr="00DA6FAB">
        <w:t>Transfusional</w:t>
      </w:r>
      <w:proofErr w:type="spellEnd"/>
      <w:r w:rsidRPr="00DA6FAB">
        <w:t xml:space="preserve"> y </w:t>
      </w:r>
      <w:proofErr w:type="spellStart"/>
      <w:r w:rsidRPr="00DA6FAB">
        <w:t>Fluidoterapia</w:t>
      </w:r>
      <w:proofErr w:type="spellEnd"/>
      <w:r w:rsidRPr="00DA6FAB">
        <w:t xml:space="preserve"> de la Sociedad Española de </w:t>
      </w:r>
      <w:proofErr w:type="spellStart"/>
      <w:r w:rsidRPr="00DA6FAB">
        <w:t>Anestesiología</w:t>
      </w:r>
      <w:proofErr w:type="spellEnd"/>
      <w:r w:rsidRPr="00DA6FAB">
        <w:t xml:space="preserve">, </w:t>
      </w:r>
      <w:proofErr w:type="spellStart"/>
      <w:r w:rsidRPr="00DA6FAB">
        <w:t>Reanimación</w:t>
      </w:r>
      <w:proofErr w:type="spellEnd"/>
      <w:r w:rsidRPr="00DA6FAB">
        <w:t xml:space="preserve"> y </w:t>
      </w:r>
      <w:proofErr w:type="spellStart"/>
      <w:r w:rsidRPr="00DA6FAB">
        <w:t>Terapéutica</w:t>
      </w:r>
      <w:proofErr w:type="spellEnd"/>
      <w:r w:rsidRPr="00DA6FAB">
        <w:t xml:space="preserve"> del Dolor (SEDAR). </w:t>
      </w:r>
      <w:proofErr w:type="spellStart"/>
      <w:r w:rsidRPr="00DA6FAB">
        <w:t>Actualización</w:t>
      </w:r>
      <w:proofErr w:type="spellEnd"/>
      <w:r w:rsidRPr="00DA6FAB">
        <w:t xml:space="preserve"> de la </w:t>
      </w:r>
      <w:proofErr w:type="spellStart"/>
      <w:r w:rsidRPr="00DA6FAB">
        <w:t>Guía</w:t>
      </w:r>
      <w:proofErr w:type="spellEnd"/>
      <w:r w:rsidRPr="00DA6FAB">
        <w:t xml:space="preserve"> de clínica </w:t>
      </w:r>
      <w:proofErr w:type="spellStart"/>
      <w:r w:rsidRPr="00DA6FAB">
        <w:t>práctica</w:t>
      </w:r>
      <w:proofErr w:type="spellEnd"/>
      <w:r w:rsidRPr="00DA6FAB">
        <w:t xml:space="preserve"> 2018. </w:t>
      </w:r>
      <w:proofErr w:type="spellStart"/>
      <w:r w:rsidRPr="00DA6FAB">
        <w:t>Rev</w:t>
      </w:r>
      <w:proofErr w:type="spellEnd"/>
      <w:r w:rsidRPr="00DA6FAB">
        <w:t xml:space="preserve"> </w:t>
      </w:r>
      <w:proofErr w:type="spellStart"/>
      <w:r w:rsidRPr="00DA6FAB">
        <w:t>Esp</w:t>
      </w:r>
      <w:proofErr w:type="spellEnd"/>
      <w:r w:rsidRPr="00DA6FAB">
        <w:t xml:space="preserve"> </w:t>
      </w:r>
      <w:proofErr w:type="spellStart"/>
      <w:r w:rsidRPr="00DA6FAB">
        <w:t>Anestesiol</w:t>
      </w:r>
      <w:proofErr w:type="spellEnd"/>
      <w:r w:rsidRPr="00DA6FAB">
        <w:t xml:space="preserve"> </w:t>
      </w:r>
      <w:proofErr w:type="spellStart"/>
      <w:r w:rsidRPr="00DA6FAB">
        <w:t>Reanim</w:t>
      </w:r>
      <w:proofErr w:type="spellEnd"/>
      <w:r w:rsidRPr="00DA6FAB">
        <w:t>. 2018. https://doi.org/10.1016/j.redar.2018.07.003</w:t>
      </w:r>
    </w:p>
    <w:p w14:paraId="1787DD65" w14:textId="451F6AA8" w:rsidR="00DA6FAB" w:rsidRPr="00DA6FAB" w:rsidRDefault="00DA6FAB" w:rsidP="00DA6FAB">
      <w:pPr>
        <w:pStyle w:val="Prrafodelista"/>
        <w:numPr>
          <w:ilvl w:val="0"/>
          <w:numId w:val="17"/>
        </w:numPr>
        <w:spacing w:after="160" w:line="259" w:lineRule="auto"/>
        <w:rPr>
          <w:rFonts w:cs="Arial"/>
        </w:rPr>
      </w:pPr>
      <w:r w:rsidRPr="00DA6FAB">
        <w:t xml:space="preserve">Vela Vásquez RS, Peláez Romero R. Aspirin </w:t>
      </w:r>
      <w:proofErr w:type="spellStart"/>
      <w:r w:rsidRPr="00DA6FAB">
        <w:t>and</w:t>
      </w:r>
      <w:proofErr w:type="spellEnd"/>
      <w:r w:rsidRPr="00DA6FAB">
        <w:t xml:space="preserve"> </w:t>
      </w:r>
      <w:proofErr w:type="spellStart"/>
      <w:r w:rsidRPr="00DA6FAB">
        <w:t>spinal</w:t>
      </w:r>
      <w:proofErr w:type="spellEnd"/>
      <w:r w:rsidRPr="00DA6FAB">
        <w:t xml:space="preserve"> </w:t>
      </w:r>
      <w:proofErr w:type="spellStart"/>
      <w:r w:rsidRPr="00DA6FAB">
        <w:t>haematoma</w:t>
      </w:r>
      <w:proofErr w:type="spellEnd"/>
      <w:r w:rsidRPr="00DA6FAB">
        <w:t xml:space="preserve"> </w:t>
      </w:r>
      <w:proofErr w:type="spellStart"/>
      <w:r w:rsidRPr="00DA6FAB">
        <w:t>after</w:t>
      </w:r>
      <w:proofErr w:type="spellEnd"/>
      <w:r w:rsidRPr="00DA6FAB">
        <w:t xml:space="preserve"> </w:t>
      </w:r>
      <w:proofErr w:type="spellStart"/>
      <w:r w:rsidRPr="00DA6FAB">
        <w:t>neuraxial</w:t>
      </w:r>
      <w:proofErr w:type="spellEnd"/>
      <w:r w:rsidRPr="00DA6FAB">
        <w:t xml:space="preserve"> </w:t>
      </w:r>
      <w:proofErr w:type="spellStart"/>
      <w:r w:rsidRPr="00DA6FAB">
        <w:t>anaesthesia</w:t>
      </w:r>
      <w:proofErr w:type="spellEnd"/>
      <w:r w:rsidRPr="00DA6FAB">
        <w:t xml:space="preserve">: </w:t>
      </w:r>
      <w:proofErr w:type="spellStart"/>
      <w:r w:rsidRPr="00DA6FAB">
        <w:t>Myth</w:t>
      </w:r>
      <w:proofErr w:type="spellEnd"/>
      <w:r w:rsidRPr="00DA6FAB">
        <w:t xml:space="preserve"> </w:t>
      </w:r>
      <w:r w:rsidR="00F074CF">
        <w:t xml:space="preserve">or </w:t>
      </w:r>
      <w:proofErr w:type="spellStart"/>
      <w:r w:rsidR="00F074CF">
        <w:t>reality</w:t>
      </w:r>
      <w:proofErr w:type="spellEnd"/>
      <w:r w:rsidR="00F074CF">
        <w:t xml:space="preserve">? Br J </w:t>
      </w:r>
      <w:proofErr w:type="spellStart"/>
      <w:r w:rsidR="00F074CF">
        <w:t>Anaesth</w:t>
      </w:r>
      <w:proofErr w:type="spellEnd"/>
      <w:r w:rsidR="00F074CF">
        <w:t>. 2015;</w:t>
      </w:r>
      <w:r w:rsidRPr="00DA6FAB">
        <w:t>115:688-98.</w:t>
      </w:r>
    </w:p>
    <w:p w14:paraId="52452F80" w14:textId="77777777" w:rsidR="00DA6FAB" w:rsidRPr="00DA6FAB" w:rsidRDefault="00DA6FAB" w:rsidP="00DA6FAB">
      <w:pPr>
        <w:pStyle w:val="Prrafodelista"/>
        <w:numPr>
          <w:ilvl w:val="0"/>
          <w:numId w:val="17"/>
        </w:numPr>
        <w:spacing w:after="160" w:line="259" w:lineRule="auto"/>
        <w:rPr>
          <w:rFonts w:cs="Arial"/>
        </w:rPr>
      </w:pPr>
      <w:r w:rsidRPr="00DA6FAB">
        <w:t xml:space="preserve">Vivas D, et al. Manejo </w:t>
      </w:r>
      <w:proofErr w:type="spellStart"/>
      <w:r w:rsidRPr="00DA6FAB">
        <w:t>perioperatorio</w:t>
      </w:r>
      <w:proofErr w:type="spellEnd"/>
      <w:r w:rsidRPr="00DA6FAB">
        <w:t xml:space="preserve"> y </w:t>
      </w:r>
      <w:proofErr w:type="spellStart"/>
      <w:r w:rsidRPr="00DA6FAB">
        <w:t>periprocedimiento</w:t>
      </w:r>
      <w:proofErr w:type="spellEnd"/>
      <w:r w:rsidRPr="00DA6FAB">
        <w:t xml:space="preserve"> del </w:t>
      </w:r>
      <w:proofErr w:type="spellStart"/>
      <w:r w:rsidRPr="00DA6FAB">
        <w:t>tratamiento</w:t>
      </w:r>
      <w:proofErr w:type="spellEnd"/>
      <w:r w:rsidRPr="00DA6FAB">
        <w:t xml:space="preserve"> </w:t>
      </w:r>
      <w:proofErr w:type="spellStart"/>
      <w:r w:rsidRPr="00DA6FAB">
        <w:t>antitrombo´tico</w:t>
      </w:r>
      <w:proofErr w:type="spellEnd"/>
      <w:r w:rsidRPr="00DA6FAB">
        <w:t xml:space="preserve">: documento de </w:t>
      </w:r>
      <w:proofErr w:type="spellStart"/>
      <w:r w:rsidRPr="00DA6FAB">
        <w:t>consenso</w:t>
      </w:r>
      <w:proofErr w:type="spellEnd"/>
      <w:r w:rsidRPr="00DA6FAB">
        <w:t xml:space="preserve"> de SEC, SEDAR, SEACV, SECTCV, AEC, SECPRE, SEPD, SEGO, SEHH, SETH, SEMERGEN, SEMFYC, SEMG, SEMICYUC, SEMI, SEMES, SEPAR, SENEC, SEO, SEPA, SERVEI, SECOT y AEU. </w:t>
      </w:r>
      <w:proofErr w:type="spellStart"/>
      <w:r w:rsidRPr="00DA6FAB">
        <w:t>Rev</w:t>
      </w:r>
      <w:proofErr w:type="spellEnd"/>
      <w:r w:rsidRPr="00DA6FAB">
        <w:t xml:space="preserve"> </w:t>
      </w:r>
      <w:proofErr w:type="spellStart"/>
      <w:r w:rsidRPr="00DA6FAB">
        <w:t>Esp</w:t>
      </w:r>
      <w:proofErr w:type="spellEnd"/>
      <w:r w:rsidRPr="00DA6FAB">
        <w:t xml:space="preserve"> </w:t>
      </w:r>
      <w:proofErr w:type="spellStart"/>
      <w:r w:rsidRPr="00DA6FAB">
        <w:t>Cardiol</w:t>
      </w:r>
      <w:proofErr w:type="spellEnd"/>
      <w:r w:rsidRPr="00DA6FAB">
        <w:t xml:space="preserve">. 2018. </w:t>
      </w:r>
      <w:hyperlink r:id="rId19" w:history="1">
        <w:r w:rsidRPr="00DA6FAB">
          <w:rPr>
            <w:rStyle w:val="Hipervnculo"/>
          </w:rPr>
          <w:t>https://doi.org/10.1016/j.recesp.2018.01.001</w:t>
        </w:r>
      </w:hyperlink>
    </w:p>
    <w:p w14:paraId="433C2A1A" w14:textId="2B66D252" w:rsidR="00DA6FAB" w:rsidRPr="00DA6FAB" w:rsidRDefault="00DA6FAB" w:rsidP="00DA6FAB">
      <w:pPr>
        <w:pStyle w:val="Prrafodelista"/>
        <w:numPr>
          <w:ilvl w:val="0"/>
          <w:numId w:val="17"/>
        </w:numPr>
        <w:spacing w:after="160" w:line="259" w:lineRule="auto"/>
        <w:rPr>
          <w:rFonts w:cs="Arial"/>
        </w:rPr>
      </w:pPr>
      <w:proofErr w:type="spellStart"/>
      <w:r w:rsidRPr="00DA6FAB">
        <w:t>Boddaert</w:t>
      </w:r>
      <w:proofErr w:type="spellEnd"/>
      <w:r w:rsidRPr="00DA6FAB">
        <w:t xml:space="preserve"> J, </w:t>
      </w:r>
      <w:proofErr w:type="spellStart"/>
      <w:r w:rsidRPr="00DA6FAB">
        <w:t>Raux</w:t>
      </w:r>
      <w:proofErr w:type="spellEnd"/>
      <w:r w:rsidRPr="00DA6FAB">
        <w:t xml:space="preserve"> M, </w:t>
      </w:r>
      <w:proofErr w:type="spellStart"/>
      <w:r w:rsidRPr="00DA6FAB">
        <w:t>Khiami</w:t>
      </w:r>
      <w:proofErr w:type="spellEnd"/>
      <w:r w:rsidRPr="00DA6FAB">
        <w:t xml:space="preserve"> F, </w:t>
      </w:r>
      <w:proofErr w:type="spellStart"/>
      <w:r w:rsidRPr="00DA6FAB">
        <w:t>Riou</w:t>
      </w:r>
      <w:proofErr w:type="spellEnd"/>
      <w:r w:rsidRPr="00DA6FAB">
        <w:t xml:space="preserve"> B. </w:t>
      </w:r>
      <w:proofErr w:type="spellStart"/>
      <w:r w:rsidRPr="00DA6FAB">
        <w:t>Perioperative</w:t>
      </w:r>
      <w:proofErr w:type="spellEnd"/>
      <w:r w:rsidRPr="00DA6FAB">
        <w:t xml:space="preserve"> management of </w:t>
      </w:r>
      <w:proofErr w:type="spellStart"/>
      <w:r w:rsidRPr="00DA6FAB">
        <w:t>elderly</w:t>
      </w:r>
      <w:proofErr w:type="spellEnd"/>
      <w:r w:rsidRPr="00DA6FAB">
        <w:t xml:space="preserve"> </w:t>
      </w:r>
      <w:proofErr w:type="spellStart"/>
      <w:r w:rsidRPr="00DA6FAB">
        <w:t>patients</w:t>
      </w:r>
      <w:proofErr w:type="spellEnd"/>
      <w:r w:rsidRPr="00DA6FAB">
        <w:t xml:space="preserve"> </w:t>
      </w:r>
      <w:proofErr w:type="spellStart"/>
      <w:r w:rsidRPr="00DA6FAB">
        <w:t>with</w:t>
      </w:r>
      <w:proofErr w:type="spellEnd"/>
      <w:r w:rsidRPr="00DA6FAB">
        <w:t xml:space="preserve"> </w:t>
      </w:r>
      <w:proofErr w:type="spellStart"/>
      <w:r w:rsidRPr="00DA6FAB">
        <w:t>hip</w:t>
      </w:r>
      <w:proofErr w:type="spellEnd"/>
      <w:r w:rsidRPr="00DA6FAB">
        <w:t xml:space="preserve"> </w:t>
      </w:r>
      <w:proofErr w:type="spellStart"/>
      <w:r w:rsidR="00F074CF">
        <w:t>fracture</w:t>
      </w:r>
      <w:proofErr w:type="spellEnd"/>
      <w:r w:rsidR="00F074CF">
        <w:t xml:space="preserve">. </w:t>
      </w:r>
      <w:proofErr w:type="spellStart"/>
      <w:r w:rsidR="00F074CF">
        <w:t>Anesthesiology</w:t>
      </w:r>
      <w:proofErr w:type="spellEnd"/>
      <w:r w:rsidR="00F074CF">
        <w:t>. 2014;</w:t>
      </w:r>
      <w:r w:rsidRPr="00DA6FAB">
        <w:t>121:1336-4.</w:t>
      </w:r>
    </w:p>
    <w:p w14:paraId="7627F0CC" w14:textId="77777777" w:rsidR="00DA6FAB" w:rsidRPr="00DA6FAB" w:rsidRDefault="00DA6FAB" w:rsidP="00DA6FAB">
      <w:pPr>
        <w:pStyle w:val="Prrafodelista"/>
        <w:numPr>
          <w:ilvl w:val="0"/>
          <w:numId w:val="17"/>
        </w:numPr>
        <w:spacing w:after="160" w:line="259" w:lineRule="auto"/>
        <w:rPr>
          <w:rFonts w:cs="Arial"/>
        </w:rPr>
      </w:pPr>
      <w:r w:rsidRPr="00DA6FAB">
        <w:rPr>
          <w:rFonts w:cs="Arial"/>
        </w:rPr>
        <w:t xml:space="preserve">Fuertes Ferre G et al. </w:t>
      </w:r>
      <w:proofErr w:type="spellStart"/>
      <w:r w:rsidRPr="00DA6FAB">
        <w:rPr>
          <w:rFonts w:cs="Arial"/>
        </w:rPr>
        <w:t>Triflusal</w:t>
      </w:r>
      <w:proofErr w:type="spellEnd"/>
      <w:r w:rsidRPr="00DA6FAB">
        <w:rPr>
          <w:rFonts w:cs="Arial"/>
        </w:rPr>
        <w:t xml:space="preserve"> en </w:t>
      </w:r>
      <w:proofErr w:type="spellStart"/>
      <w:r w:rsidRPr="00DA6FAB">
        <w:rPr>
          <w:rFonts w:cs="Arial"/>
        </w:rPr>
        <w:t>pacientes</w:t>
      </w:r>
      <w:proofErr w:type="spellEnd"/>
      <w:r w:rsidRPr="00DA6FAB">
        <w:rPr>
          <w:rFonts w:cs="Arial"/>
        </w:rPr>
        <w:t xml:space="preserve"> con </w:t>
      </w:r>
      <w:proofErr w:type="spellStart"/>
      <w:r w:rsidRPr="00DA6FAB">
        <w:rPr>
          <w:rFonts w:cs="Arial"/>
        </w:rPr>
        <w:t>hipersensibilidad</w:t>
      </w:r>
      <w:proofErr w:type="spellEnd"/>
      <w:r w:rsidRPr="00DA6FAB">
        <w:rPr>
          <w:rFonts w:cs="Arial"/>
        </w:rPr>
        <w:t xml:space="preserve"> al </w:t>
      </w:r>
      <w:proofErr w:type="spellStart"/>
      <w:r w:rsidRPr="00DA6FAB">
        <w:rPr>
          <w:rFonts w:cs="Arial"/>
        </w:rPr>
        <w:t>ácido</w:t>
      </w:r>
      <w:proofErr w:type="spellEnd"/>
      <w:r w:rsidRPr="00DA6FAB">
        <w:rPr>
          <w:rFonts w:cs="Arial"/>
        </w:rPr>
        <w:t xml:space="preserve"> </w:t>
      </w:r>
      <w:proofErr w:type="spellStart"/>
      <w:r w:rsidRPr="00DA6FAB">
        <w:rPr>
          <w:rFonts w:cs="Arial"/>
        </w:rPr>
        <w:t>acetilsalicílico</w:t>
      </w:r>
      <w:proofErr w:type="spellEnd"/>
      <w:r w:rsidRPr="00DA6FAB">
        <w:rPr>
          <w:rFonts w:cs="Arial"/>
        </w:rPr>
        <w:t xml:space="preserve"> </w:t>
      </w:r>
      <w:proofErr w:type="spellStart"/>
      <w:r w:rsidRPr="00DA6FAB">
        <w:rPr>
          <w:rFonts w:cs="Arial"/>
        </w:rPr>
        <w:t>tratados</w:t>
      </w:r>
      <w:proofErr w:type="spellEnd"/>
      <w:r w:rsidRPr="00DA6FAB">
        <w:rPr>
          <w:rFonts w:cs="Arial"/>
        </w:rPr>
        <w:t xml:space="preserve"> con </w:t>
      </w:r>
      <w:proofErr w:type="spellStart"/>
      <w:r w:rsidRPr="00DA6FAB">
        <w:rPr>
          <w:rFonts w:cs="Arial"/>
        </w:rPr>
        <w:t>stent</w:t>
      </w:r>
      <w:proofErr w:type="spellEnd"/>
      <w:r w:rsidRPr="00DA6FAB">
        <w:rPr>
          <w:rFonts w:cs="Arial"/>
        </w:rPr>
        <w:t xml:space="preserve"> </w:t>
      </w:r>
      <w:proofErr w:type="spellStart"/>
      <w:r w:rsidRPr="00DA6FAB">
        <w:rPr>
          <w:rFonts w:cs="Arial"/>
        </w:rPr>
        <w:t>coronario</w:t>
      </w:r>
      <w:proofErr w:type="spellEnd"/>
      <w:r w:rsidRPr="00DA6FAB">
        <w:rPr>
          <w:rFonts w:cs="Arial"/>
        </w:rPr>
        <w:t xml:space="preserve">. </w:t>
      </w:r>
      <w:proofErr w:type="spellStart"/>
      <w:r w:rsidRPr="00DA6FAB">
        <w:rPr>
          <w:rFonts w:cs="Arial"/>
        </w:rPr>
        <w:t>Rev</w:t>
      </w:r>
      <w:proofErr w:type="spellEnd"/>
      <w:r w:rsidRPr="00DA6FAB">
        <w:rPr>
          <w:rFonts w:cs="Arial"/>
        </w:rPr>
        <w:t xml:space="preserve"> </w:t>
      </w:r>
      <w:proofErr w:type="spellStart"/>
      <w:r w:rsidRPr="00DA6FAB">
        <w:rPr>
          <w:rFonts w:cs="Arial"/>
        </w:rPr>
        <w:t>Esp</w:t>
      </w:r>
      <w:proofErr w:type="spellEnd"/>
      <w:r w:rsidRPr="00DA6FAB">
        <w:rPr>
          <w:rFonts w:cs="Arial"/>
        </w:rPr>
        <w:t xml:space="preserve"> </w:t>
      </w:r>
      <w:proofErr w:type="spellStart"/>
      <w:r w:rsidRPr="00DA6FAB">
        <w:rPr>
          <w:rFonts w:cs="Arial"/>
        </w:rPr>
        <w:t>Cardiol</w:t>
      </w:r>
      <w:proofErr w:type="spellEnd"/>
      <w:r w:rsidRPr="00DA6FAB">
        <w:rPr>
          <w:rFonts w:cs="Arial"/>
        </w:rPr>
        <w:t>. 2018; 71: 584-85.</w:t>
      </w:r>
    </w:p>
    <w:p w14:paraId="754DBBA4" w14:textId="77777777" w:rsidR="00DA6FAB" w:rsidRPr="00DA6FAB" w:rsidRDefault="00DA6FAB" w:rsidP="00DA6FAB">
      <w:pPr>
        <w:pStyle w:val="Prrafodelista"/>
        <w:numPr>
          <w:ilvl w:val="0"/>
          <w:numId w:val="17"/>
        </w:numPr>
        <w:spacing w:after="160" w:line="259" w:lineRule="auto"/>
        <w:rPr>
          <w:rFonts w:cs="Arial"/>
        </w:rPr>
      </w:pPr>
      <w:r w:rsidRPr="00DA6FAB">
        <w:rPr>
          <w:rFonts w:cs="Arial"/>
        </w:rPr>
        <w:t xml:space="preserve">Murdoch D, </w:t>
      </w:r>
      <w:proofErr w:type="spellStart"/>
      <w:r w:rsidRPr="00DA6FAB">
        <w:rPr>
          <w:rFonts w:cs="Arial"/>
        </w:rPr>
        <w:t>Plosker</w:t>
      </w:r>
      <w:proofErr w:type="spellEnd"/>
      <w:r w:rsidRPr="00DA6FAB">
        <w:rPr>
          <w:rFonts w:cs="Arial"/>
        </w:rPr>
        <w:t xml:space="preserve"> GL. </w:t>
      </w:r>
      <w:proofErr w:type="spellStart"/>
      <w:r w:rsidRPr="00DA6FAB">
        <w:rPr>
          <w:rFonts w:cs="Arial"/>
        </w:rPr>
        <w:t>Triflusal</w:t>
      </w:r>
      <w:proofErr w:type="spellEnd"/>
      <w:r w:rsidRPr="00DA6FAB">
        <w:rPr>
          <w:rFonts w:cs="Arial"/>
        </w:rPr>
        <w:t xml:space="preserve">: a </w:t>
      </w:r>
      <w:proofErr w:type="spellStart"/>
      <w:r w:rsidRPr="00DA6FAB">
        <w:rPr>
          <w:rFonts w:cs="Arial"/>
        </w:rPr>
        <w:t>review</w:t>
      </w:r>
      <w:proofErr w:type="spellEnd"/>
      <w:r w:rsidRPr="00DA6FAB">
        <w:rPr>
          <w:rFonts w:cs="Arial"/>
        </w:rPr>
        <w:t xml:space="preserve"> of </w:t>
      </w:r>
      <w:proofErr w:type="spellStart"/>
      <w:r w:rsidRPr="00DA6FAB">
        <w:rPr>
          <w:rFonts w:cs="Arial"/>
        </w:rPr>
        <w:t>its</w:t>
      </w:r>
      <w:proofErr w:type="spellEnd"/>
      <w:r w:rsidRPr="00DA6FAB">
        <w:rPr>
          <w:rFonts w:cs="Arial"/>
        </w:rPr>
        <w:t xml:space="preserve"> </w:t>
      </w:r>
      <w:proofErr w:type="spellStart"/>
      <w:r w:rsidRPr="00DA6FAB">
        <w:rPr>
          <w:rFonts w:cs="Arial"/>
        </w:rPr>
        <w:t>use</w:t>
      </w:r>
      <w:proofErr w:type="spellEnd"/>
      <w:r w:rsidRPr="00DA6FAB">
        <w:rPr>
          <w:rFonts w:cs="Arial"/>
        </w:rPr>
        <w:t xml:space="preserve"> in cerebral </w:t>
      </w:r>
      <w:proofErr w:type="spellStart"/>
      <w:r w:rsidRPr="00DA6FAB">
        <w:rPr>
          <w:rFonts w:cs="Arial"/>
        </w:rPr>
        <w:t>infarction</w:t>
      </w:r>
      <w:proofErr w:type="spellEnd"/>
      <w:r w:rsidRPr="00DA6FAB">
        <w:rPr>
          <w:rFonts w:cs="Arial"/>
        </w:rPr>
        <w:t xml:space="preserve"> </w:t>
      </w:r>
      <w:proofErr w:type="spellStart"/>
      <w:r w:rsidRPr="00DA6FAB">
        <w:rPr>
          <w:rFonts w:cs="Arial"/>
        </w:rPr>
        <w:t>and</w:t>
      </w:r>
      <w:proofErr w:type="spellEnd"/>
      <w:r w:rsidRPr="00DA6FAB">
        <w:rPr>
          <w:rFonts w:cs="Arial"/>
        </w:rPr>
        <w:t xml:space="preserve"> </w:t>
      </w:r>
      <w:proofErr w:type="spellStart"/>
      <w:r w:rsidRPr="00DA6FAB">
        <w:rPr>
          <w:rFonts w:cs="Arial"/>
        </w:rPr>
        <w:t>myocardial</w:t>
      </w:r>
      <w:proofErr w:type="spellEnd"/>
      <w:r w:rsidRPr="00DA6FAB">
        <w:rPr>
          <w:rFonts w:cs="Arial"/>
        </w:rPr>
        <w:t xml:space="preserve"> </w:t>
      </w:r>
      <w:proofErr w:type="spellStart"/>
      <w:r w:rsidRPr="00DA6FAB">
        <w:rPr>
          <w:rFonts w:cs="Arial"/>
        </w:rPr>
        <w:t>infarction</w:t>
      </w:r>
      <w:proofErr w:type="spellEnd"/>
      <w:r w:rsidRPr="00DA6FAB">
        <w:rPr>
          <w:rFonts w:cs="Arial"/>
        </w:rPr>
        <w:t xml:space="preserve">, </w:t>
      </w:r>
      <w:proofErr w:type="spellStart"/>
      <w:r w:rsidRPr="00DA6FAB">
        <w:rPr>
          <w:rFonts w:cs="Arial"/>
        </w:rPr>
        <w:t>and</w:t>
      </w:r>
      <w:proofErr w:type="spellEnd"/>
      <w:r w:rsidRPr="00DA6FAB">
        <w:rPr>
          <w:rFonts w:cs="Arial"/>
        </w:rPr>
        <w:t xml:space="preserve"> as </w:t>
      </w:r>
      <w:proofErr w:type="spellStart"/>
      <w:r w:rsidRPr="00DA6FAB">
        <w:rPr>
          <w:rFonts w:cs="Arial"/>
        </w:rPr>
        <w:t>thromboprophylaxis</w:t>
      </w:r>
      <w:proofErr w:type="spellEnd"/>
      <w:r w:rsidRPr="00DA6FAB">
        <w:rPr>
          <w:rFonts w:cs="Arial"/>
        </w:rPr>
        <w:t xml:space="preserve"> in atrial </w:t>
      </w:r>
      <w:proofErr w:type="spellStart"/>
      <w:r w:rsidRPr="00DA6FAB">
        <w:rPr>
          <w:rFonts w:cs="Arial"/>
        </w:rPr>
        <w:t>fibrillation</w:t>
      </w:r>
      <w:proofErr w:type="spellEnd"/>
      <w:r w:rsidRPr="00DA6FAB">
        <w:rPr>
          <w:rFonts w:cs="Arial"/>
        </w:rPr>
        <w:t xml:space="preserve">. </w:t>
      </w:r>
      <w:proofErr w:type="spellStart"/>
      <w:r w:rsidRPr="00DA6FAB">
        <w:rPr>
          <w:rFonts w:cs="Arial"/>
        </w:rPr>
        <w:t>Drugs</w:t>
      </w:r>
      <w:proofErr w:type="spellEnd"/>
      <w:r w:rsidRPr="00DA6FAB">
        <w:rPr>
          <w:rFonts w:cs="Arial"/>
        </w:rPr>
        <w:t>. 2006; 66:671-92.</w:t>
      </w:r>
    </w:p>
    <w:p w14:paraId="42247465"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rPr>
          <w:rFonts w:cs="Arial"/>
        </w:rPr>
        <w:t>Nawarskas</w:t>
      </w:r>
      <w:proofErr w:type="spellEnd"/>
      <w:r w:rsidRPr="00DA6FAB">
        <w:rPr>
          <w:rFonts w:cs="Arial"/>
        </w:rPr>
        <w:t xml:space="preserve"> JJ, </w:t>
      </w:r>
      <w:proofErr w:type="spellStart"/>
      <w:r w:rsidRPr="00DA6FAB">
        <w:rPr>
          <w:rFonts w:cs="Arial"/>
        </w:rPr>
        <w:t>Snowden</w:t>
      </w:r>
      <w:proofErr w:type="spellEnd"/>
      <w:r w:rsidRPr="00DA6FAB">
        <w:rPr>
          <w:rFonts w:cs="Arial"/>
        </w:rPr>
        <w:t xml:space="preserve"> SS. </w:t>
      </w:r>
      <w:proofErr w:type="spellStart"/>
      <w:r w:rsidRPr="00DA6FAB">
        <w:rPr>
          <w:rFonts w:cs="Arial"/>
        </w:rPr>
        <w:t>Critical</w:t>
      </w:r>
      <w:proofErr w:type="spellEnd"/>
      <w:r w:rsidRPr="00DA6FAB">
        <w:rPr>
          <w:rFonts w:cs="Arial"/>
        </w:rPr>
        <w:t xml:space="preserve"> </w:t>
      </w:r>
      <w:proofErr w:type="spellStart"/>
      <w:r w:rsidRPr="00DA6FAB">
        <w:rPr>
          <w:rFonts w:cs="Arial"/>
        </w:rPr>
        <w:t>appraisal</w:t>
      </w:r>
      <w:proofErr w:type="spellEnd"/>
      <w:r w:rsidRPr="00DA6FAB">
        <w:rPr>
          <w:rFonts w:cs="Arial"/>
        </w:rPr>
        <w:t xml:space="preserve"> of </w:t>
      </w:r>
      <w:proofErr w:type="spellStart"/>
      <w:r w:rsidRPr="00DA6FAB">
        <w:rPr>
          <w:rFonts w:cs="Arial"/>
        </w:rPr>
        <w:t>ticagrelor</w:t>
      </w:r>
      <w:proofErr w:type="spellEnd"/>
      <w:r w:rsidRPr="00DA6FAB">
        <w:rPr>
          <w:rFonts w:cs="Arial"/>
        </w:rPr>
        <w:t xml:space="preserve"> in </w:t>
      </w:r>
      <w:proofErr w:type="spellStart"/>
      <w:r w:rsidRPr="00DA6FAB">
        <w:rPr>
          <w:rFonts w:cs="Arial"/>
        </w:rPr>
        <w:t>the</w:t>
      </w:r>
      <w:proofErr w:type="spellEnd"/>
      <w:r w:rsidRPr="00DA6FAB">
        <w:rPr>
          <w:rFonts w:cs="Arial"/>
        </w:rPr>
        <w:t xml:space="preserve"> management of </w:t>
      </w:r>
      <w:proofErr w:type="spellStart"/>
      <w:r w:rsidRPr="00DA6FAB">
        <w:rPr>
          <w:rFonts w:cs="Arial"/>
        </w:rPr>
        <w:t>acute</w:t>
      </w:r>
      <w:proofErr w:type="spellEnd"/>
      <w:r w:rsidRPr="00DA6FAB">
        <w:rPr>
          <w:rFonts w:cs="Arial"/>
        </w:rPr>
        <w:t xml:space="preserve"> </w:t>
      </w:r>
      <w:proofErr w:type="spellStart"/>
      <w:r w:rsidRPr="00DA6FAB">
        <w:rPr>
          <w:rFonts w:cs="Arial"/>
        </w:rPr>
        <w:t>coronary</w:t>
      </w:r>
      <w:proofErr w:type="spellEnd"/>
      <w:r w:rsidRPr="00DA6FAB">
        <w:rPr>
          <w:rFonts w:cs="Arial"/>
        </w:rPr>
        <w:t xml:space="preserve"> </w:t>
      </w:r>
      <w:proofErr w:type="spellStart"/>
      <w:r w:rsidRPr="00DA6FAB">
        <w:rPr>
          <w:rFonts w:cs="Arial"/>
        </w:rPr>
        <w:t>syndrome</w:t>
      </w:r>
      <w:proofErr w:type="spellEnd"/>
      <w:r w:rsidRPr="00DA6FAB">
        <w:rPr>
          <w:rFonts w:cs="Arial"/>
        </w:rPr>
        <w:t xml:space="preserve">. </w:t>
      </w:r>
      <w:proofErr w:type="spellStart"/>
      <w:r w:rsidRPr="00DA6FAB">
        <w:rPr>
          <w:rFonts w:cs="Arial"/>
        </w:rPr>
        <w:t>Ther</w:t>
      </w:r>
      <w:proofErr w:type="spellEnd"/>
      <w:r w:rsidRPr="00DA6FAB">
        <w:rPr>
          <w:rFonts w:cs="Arial"/>
        </w:rPr>
        <w:t xml:space="preserve"> Clin </w:t>
      </w:r>
      <w:proofErr w:type="spellStart"/>
      <w:r w:rsidRPr="00DA6FAB">
        <w:rPr>
          <w:rFonts w:cs="Arial"/>
        </w:rPr>
        <w:t>Risk</w:t>
      </w:r>
      <w:proofErr w:type="spellEnd"/>
      <w:r w:rsidRPr="00DA6FAB">
        <w:rPr>
          <w:rFonts w:cs="Arial"/>
        </w:rPr>
        <w:t xml:space="preserve"> </w:t>
      </w:r>
      <w:proofErr w:type="spellStart"/>
      <w:r w:rsidRPr="00DA6FAB">
        <w:rPr>
          <w:rFonts w:cs="Arial"/>
        </w:rPr>
        <w:t>Manag</w:t>
      </w:r>
      <w:proofErr w:type="spellEnd"/>
      <w:r w:rsidRPr="00DA6FAB">
        <w:rPr>
          <w:rFonts w:cs="Arial"/>
        </w:rPr>
        <w:t>. 2011; 7: 473-88.</w:t>
      </w:r>
    </w:p>
    <w:p w14:paraId="0B921D3D"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rPr>
          <w:rFonts w:cs="Arial"/>
        </w:rPr>
        <w:t>Badimon</w:t>
      </w:r>
      <w:proofErr w:type="spellEnd"/>
      <w:r w:rsidRPr="00DA6FAB">
        <w:rPr>
          <w:rFonts w:cs="Arial"/>
        </w:rPr>
        <w:t xml:space="preserve"> et al. </w:t>
      </w:r>
      <w:proofErr w:type="spellStart"/>
      <w:r w:rsidRPr="00DA6FAB">
        <w:rPr>
          <w:rFonts w:cs="Arial"/>
        </w:rPr>
        <w:t>Mecanismos</w:t>
      </w:r>
      <w:proofErr w:type="spellEnd"/>
      <w:r w:rsidRPr="00DA6FAB">
        <w:rPr>
          <w:rFonts w:cs="Arial"/>
        </w:rPr>
        <w:t xml:space="preserve"> de </w:t>
      </w:r>
      <w:proofErr w:type="spellStart"/>
      <w:r w:rsidRPr="00DA6FAB">
        <w:rPr>
          <w:rFonts w:cs="Arial"/>
        </w:rPr>
        <w:t>acción</w:t>
      </w:r>
      <w:proofErr w:type="spellEnd"/>
      <w:r w:rsidRPr="00DA6FAB">
        <w:rPr>
          <w:rFonts w:cs="Arial"/>
        </w:rPr>
        <w:t xml:space="preserve"> de los </w:t>
      </w:r>
      <w:proofErr w:type="spellStart"/>
      <w:r w:rsidRPr="00DA6FAB">
        <w:rPr>
          <w:rFonts w:cs="Arial"/>
        </w:rPr>
        <w:t>diferentes</w:t>
      </w:r>
      <w:proofErr w:type="spellEnd"/>
      <w:r w:rsidRPr="00DA6FAB">
        <w:rPr>
          <w:rFonts w:cs="Arial"/>
        </w:rPr>
        <w:t xml:space="preserve"> </w:t>
      </w:r>
      <w:proofErr w:type="spellStart"/>
      <w:r w:rsidRPr="00DA6FAB">
        <w:rPr>
          <w:rFonts w:cs="Arial"/>
        </w:rPr>
        <w:t>agentes</w:t>
      </w:r>
      <w:proofErr w:type="spellEnd"/>
      <w:r w:rsidRPr="00DA6FAB">
        <w:rPr>
          <w:rFonts w:cs="Arial"/>
        </w:rPr>
        <w:t xml:space="preserve"> </w:t>
      </w:r>
      <w:proofErr w:type="spellStart"/>
      <w:r w:rsidRPr="00DA6FAB">
        <w:rPr>
          <w:rFonts w:cs="Arial"/>
        </w:rPr>
        <w:t>antiplaquetarios</w:t>
      </w:r>
      <w:proofErr w:type="spellEnd"/>
      <w:r w:rsidRPr="00DA6FAB">
        <w:rPr>
          <w:rFonts w:cs="Arial"/>
        </w:rPr>
        <w:t xml:space="preserve">. </w:t>
      </w:r>
      <w:proofErr w:type="spellStart"/>
      <w:r w:rsidRPr="00DA6FAB">
        <w:rPr>
          <w:rFonts w:cs="Arial"/>
        </w:rPr>
        <w:t>Rev</w:t>
      </w:r>
      <w:proofErr w:type="spellEnd"/>
      <w:r w:rsidRPr="00DA6FAB">
        <w:rPr>
          <w:rFonts w:cs="Arial"/>
        </w:rPr>
        <w:t xml:space="preserve"> </w:t>
      </w:r>
      <w:proofErr w:type="spellStart"/>
      <w:r w:rsidRPr="00DA6FAB">
        <w:rPr>
          <w:rFonts w:cs="Arial"/>
        </w:rPr>
        <w:t>Esp</w:t>
      </w:r>
      <w:proofErr w:type="spellEnd"/>
      <w:r w:rsidRPr="00DA6FAB">
        <w:rPr>
          <w:rFonts w:cs="Arial"/>
        </w:rPr>
        <w:t xml:space="preserve"> </w:t>
      </w:r>
      <w:proofErr w:type="spellStart"/>
      <w:r w:rsidRPr="00DA6FAB">
        <w:rPr>
          <w:rFonts w:cs="Arial"/>
        </w:rPr>
        <w:t>Cardiol</w:t>
      </w:r>
      <w:proofErr w:type="spellEnd"/>
      <w:r w:rsidRPr="00DA6FAB">
        <w:rPr>
          <w:rFonts w:cs="Arial"/>
        </w:rPr>
        <w:t xml:space="preserve"> </w:t>
      </w:r>
      <w:proofErr w:type="spellStart"/>
      <w:r w:rsidRPr="00DA6FAB">
        <w:rPr>
          <w:rFonts w:cs="Arial"/>
        </w:rPr>
        <w:t>Supl</w:t>
      </w:r>
      <w:proofErr w:type="spellEnd"/>
      <w:r w:rsidRPr="00DA6FAB">
        <w:rPr>
          <w:rFonts w:cs="Arial"/>
        </w:rPr>
        <w:t xml:space="preserve"> 2013; 13(B): 8-15.</w:t>
      </w:r>
    </w:p>
    <w:p w14:paraId="7F7858C4"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lastRenderedPageBreak/>
        <w:t>Soo</w:t>
      </w:r>
      <w:proofErr w:type="spellEnd"/>
      <w:r w:rsidRPr="00DA6FAB">
        <w:t xml:space="preserve"> CG et al.  </w:t>
      </w:r>
      <w:proofErr w:type="spellStart"/>
      <w:r w:rsidRPr="00DA6FAB">
        <w:t>Clopidogrel</w:t>
      </w:r>
      <w:proofErr w:type="spellEnd"/>
      <w:r w:rsidRPr="00DA6FAB">
        <w:t xml:space="preserve"> </w:t>
      </w:r>
      <w:proofErr w:type="spellStart"/>
      <w:r w:rsidRPr="00DA6FAB">
        <w:t>and</w:t>
      </w:r>
      <w:proofErr w:type="spellEnd"/>
      <w:r w:rsidRPr="00DA6FAB">
        <w:t xml:space="preserve"> </w:t>
      </w:r>
      <w:proofErr w:type="spellStart"/>
      <w:r w:rsidRPr="00DA6FAB">
        <w:t>hip</w:t>
      </w:r>
      <w:proofErr w:type="spellEnd"/>
      <w:r w:rsidRPr="00DA6FAB">
        <w:t xml:space="preserve"> fractures, is </w:t>
      </w:r>
      <w:proofErr w:type="spellStart"/>
      <w:r w:rsidRPr="00DA6FAB">
        <w:t>it</w:t>
      </w:r>
      <w:proofErr w:type="spellEnd"/>
      <w:r w:rsidRPr="00DA6FAB">
        <w:t xml:space="preserve"> </w:t>
      </w:r>
      <w:proofErr w:type="spellStart"/>
      <w:r w:rsidRPr="00DA6FAB">
        <w:t>safe</w:t>
      </w:r>
      <w:proofErr w:type="spellEnd"/>
      <w:r w:rsidRPr="00DA6FAB">
        <w:t xml:space="preserve">? A </w:t>
      </w:r>
      <w:proofErr w:type="spellStart"/>
      <w:r w:rsidRPr="00DA6FAB">
        <w:t>systematic</w:t>
      </w:r>
      <w:proofErr w:type="spellEnd"/>
      <w:r w:rsidRPr="00DA6FAB">
        <w:t xml:space="preserve"> </w:t>
      </w:r>
      <w:proofErr w:type="spellStart"/>
      <w:r w:rsidRPr="00DA6FAB">
        <w:t>review</w:t>
      </w:r>
      <w:proofErr w:type="spellEnd"/>
      <w:r w:rsidRPr="00DA6FAB">
        <w:t xml:space="preserve"> </w:t>
      </w:r>
      <w:proofErr w:type="spellStart"/>
      <w:r w:rsidRPr="00DA6FAB">
        <w:t>and</w:t>
      </w:r>
      <w:proofErr w:type="spellEnd"/>
      <w:r w:rsidRPr="00DA6FAB">
        <w:t xml:space="preserve"> meta-</w:t>
      </w:r>
      <w:proofErr w:type="spellStart"/>
      <w:r w:rsidRPr="00DA6FAB">
        <w:t>analysis</w:t>
      </w:r>
      <w:proofErr w:type="spellEnd"/>
      <w:r w:rsidRPr="00DA6FAB">
        <w:t xml:space="preserve">. BMC </w:t>
      </w:r>
      <w:proofErr w:type="spellStart"/>
      <w:r w:rsidRPr="00DA6FAB">
        <w:t>Musculoskelet</w:t>
      </w:r>
      <w:proofErr w:type="spellEnd"/>
      <w:r w:rsidRPr="00DA6FAB">
        <w:t xml:space="preserve"> </w:t>
      </w:r>
      <w:proofErr w:type="spellStart"/>
      <w:r w:rsidRPr="00DA6FAB">
        <w:t>Disord</w:t>
      </w:r>
      <w:proofErr w:type="spellEnd"/>
      <w:r w:rsidRPr="00DA6FAB">
        <w:t xml:space="preserve">. 2016; 17:136. http://dx.doi.org/10.1186/s12891-016- 0988-9. </w:t>
      </w:r>
    </w:p>
    <w:p w14:paraId="46F24C77"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t>Mattesi</w:t>
      </w:r>
      <w:proofErr w:type="spellEnd"/>
      <w:r w:rsidRPr="00DA6FAB">
        <w:t xml:space="preserve"> L et al. </w:t>
      </w:r>
      <w:proofErr w:type="spellStart"/>
      <w:r w:rsidRPr="00DA6FAB">
        <w:t>Review</w:t>
      </w:r>
      <w:proofErr w:type="spellEnd"/>
      <w:r w:rsidRPr="00DA6FAB">
        <w:t xml:space="preserve"> article </w:t>
      </w:r>
      <w:proofErr w:type="spellStart"/>
      <w:r w:rsidRPr="00DA6FAB">
        <w:t>Discontinuation</w:t>
      </w:r>
      <w:proofErr w:type="spellEnd"/>
      <w:r w:rsidRPr="00DA6FAB">
        <w:t xml:space="preserve"> of </w:t>
      </w:r>
      <w:proofErr w:type="spellStart"/>
      <w:r w:rsidRPr="00DA6FAB">
        <w:t>Plavix</w:t>
      </w:r>
      <w:proofErr w:type="spellEnd"/>
      <w:r w:rsidRPr="00DA6FAB">
        <w:t>® (</w:t>
      </w:r>
      <w:proofErr w:type="spellStart"/>
      <w:r w:rsidRPr="00DA6FAB">
        <w:t>clopidogrel</w:t>
      </w:r>
      <w:proofErr w:type="spellEnd"/>
      <w:r w:rsidRPr="00DA6FAB">
        <w:t xml:space="preserve">) for </w:t>
      </w:r>
      <w:proofErr w:type="spellStart"/>
      <w:r w:rsidRPr="00DA6FAB">
        <w:t>hip</w:t>
      </w:r>
      <w:proofErr w:type="spellEnd"/>
      <w:r w:rsidRPr="00DA6FAB">
        <w:t xml:space="preserve"> </w:t>
      </w:r>
      <w:proofErr w:type="spellStart"/>
      <w:r w:rsidRPr="00DA6FAB">
        <w:t>fracture</w:t>
      </w:r>
      <w:proofErr w:type="spellEnd"/>
      <w:r w:rsidRPr="00DA6FAB">
        <w:t xml:space="preserve"> </w:t>
      </w:r>
      <w:proofErr w:type="spellStart"/>
      <w:r w:rsidRPr="00DA6FAB">
        <w:t>surgery</w:t>
      </w:r>
      <w:proofErr w:type="spellEnd"/>
      <w:r w:rsidRPr="00DA6FAB">
        <w:t xml:space="preserve">. A </w:t>
      </w:r>
      <w:proofErr w:type="spellStart"/>
      <w:r w:rsidRPr="00DA6FAB">
        <w:t>systematic</w:t>
      </w:r>
      <w:proofErr w:type="spellEnd"/>
      <w:r w:rsidRPr="00DA6FAB">
        <w:t xml:space="preserve"> </w:t>
      </w:r>
      <w:proofErr w:type="spellStart"/>
      <w:r w:rsidRPr="00DA6FAB">
        <w:t>review</w:t>
      </w:r>
      <w:proofErr w:type="spellEnd"/>
      <w:r w:rsidRPr="00DA6FAB">
        <w:t xml:space="preserve"> of </w:t>
      </w:r>
      <w:proofErr w:type="spellStart"/>
      <w:r w:rsidRPr="00DA6FAB">
        <w:t>the</w:t>
      </w:r>
      <w:proofErr w:type="spellEnd"/>
      <w:r w:rsidRPr="00DA6FAB">
        <w:t xml:space="preserve"> </w:t>
      </w:r>
      <w:proofErr w:type="spellStart"/>
      <w:r w:rsidRPr="00DA6FAB">
        <w:t>literature</w:t>
      </w:r>
      <w:proofErr w:type="spellEnd"/>
      <w:r w:rsidRPr="00DA6FAB">
        <w:t xml:space="preserve">. </w:t>
      </w:r>
      <w:proofErr w:type="spellStart"/>
      <w:r w:rsidRPr="00DA6FAB">
        <w:t>Orthop</w:t>
      </w:r>
      <w:proofErr w:type="spellEnd"/>
      <w:r w:rsidRPr="00DA6FAB">
        <w:t xml:space="preserve"> </w:t>
      </w:r>
      <w:proofErr w:type="spellStart"/>
      <w:r w:rsidRPr="00DA6FAB">
        <w:t>Traumatol</w:t>
      </w:r>
      <w:proofErr w:type="spellEnd"/>
      <w:r w:rsidRPr="00DA6FAB">
        <w:t xml:space="preserve"> </w:t>
      </w:r>
      <w:proofErr w:type="spellStart"/>
      <w:r w:rsidRPr="00DA6FAB">
        <w:t>Surg</w:t>
      </w:r>
      <w:proofErr w:type="spellEnd"/>
      <w:r w:rsidRPr="00DA6FAB">
        <w:t xml:space="preserve"> Res. 2016; 102: 1097–101.</w:t>
      </w:r>
    </w:p>
    <w:p w14:paraId="586C5569"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t>Mărginean</w:t>
      </w:r>
      <w:proofErr w:type="spellEnd"/>
      <w:r w:rsidRPr="00DA6FAB">
        <w:t xml:space="preserve"> A et al. </w:t>
      </w:r>
      <w:proofErr w:type="spellStart"/>
      <w:r w:rsidRPr="00DA6FAB">
        <w:t>The</w:t>
      </w:r>
      <w:proofErr w:type="spellEnd"/>
      <w:r w:rsidRPr="00DA6FAB">
        <w:t xml:space="preserve"> </w:t>
      </w:r>
      <w:proofErr w:type="spellStart"/>
      <w:r w:rsidRPr="00DA6FAB">
        <w:t>impact</w:t>
      </w:r>
      <w:proofErr w:type="spellEnd"/>
      <w:r w:rsidRPr="00DA6FAB">
        <w:t xml:space="preserve"> of CYP2C19 </w:t>
      </w:r>
      <w:proofErr w:type="spellStart"/>
      <w:r w:rsidRPr="00DA6FAB">
        <w:t>loss</w:t>
      </w:r>
      <w:proofErr w:type="spellEnd"/>
      <w:r w:rsidRPr="00DA6FAB">
        <w:t xml:space="preserve"> -of- </w:t>
      </w:r>
      <w:proofErr w:type="spellStart"/>
      <w:r w:rsidRPr="00DA6FAB">
        <w:t>function</w:t>
      </w:r>
      <w:proofErr w:type="spellEnd"/>
      <w:r w:rsidRPr="00DA6FAB">
        <w:t xml:space="preserve"> </w:t>
      </w:r>
      <w:proofErr w:type="spellStart"/>
      <w:r w:rsidRPr="00DA6FAB">
        <w:t>polymorphisms</w:t>
      </w:r>
      <w:proofErr w:type="spellEnd"/>
      <w:r w:rsidRPr="00DA6FAB">
        <w:t xml:space="preserve">, </w:t>
      </w:r>
      <w:proofErr w:type="spellStart"/>
      <w:r w:rsidRPr="00DA6FAB">
        <w:t>clinical</w:t>
      </w:r>
      <w:proofErr w:type="spellEnd"/>
      <w:r w:rsidRPr="00DA6FAB">
        <w:t xml:space="preserve">, </w:t>
      </w:r>
      <w:proofErr w:type="spellStart"/>
      <w:r w:rsidRPr="00DA6FAB">
        <w:t>and</w:t>
      </w:r>
      <w:proofErr w:type="spellEnd"/>
      <w:r w:rsidRPr="00DA6FAB">
        <w:t xml:space="preserve"> </w:t>
      </w:r>
      <w:proofErr w:type="spellStart"/>
      <w:r w:rsidRPr="00DA6FAB">
        <w:t>demographic</w:t>
      </w:r>
      <w:proofErr w:type="spellEnd"/>
      <w:r w:rsidRPr="00DA6FAB">
        <w:t xml:space="preserve"> variables on </w:t>
      </w:r>
      <w:proofErr w:type="spellStart"/>
      <w:r w:rsidRPr="00DA6FAB">
        <w:t>platelet</w:t>
      </w:r>
      <w:proofErr w:type="spellEnd"/>
      <w:r w:rsidRPr="00DA6FAB">
        <w:t xml:space="preserve"> </w:t>
      </w:r>
      <w:proofErr w:type="spellStart"/>
      <w:r w:rsidRPr="00DA6FAB">
        <w:t>response</w:t>
      </w:r>
      <w:proofErr w:type="spellEnd"/>
      <w:r w:rsidRPr="00DA6FAB">
        <w:t xml:space="preserve"> to </w:t>
      </w:r>
      <w:proofErr w:type="spellStart"/>
      <w:r w:rsidRPr="00DA6FAB">
        <w:t>clopidogrel</w:t>
      </w:r>
      <w:proofErr w:type="spellEnd"/>
      <w:r w:rsidRPr="00DA6FAB">
        <w:t xml:space="preserve"> </w:t>
      </w:r>
      <w:proofErr w:type="spellStart"/>
      <w:r w:rsidRPr="00DA6FAB">
        <w:t>evaluated</w:t>
      </w:r>
      <w:proofErr w:type="spellEnd"/>
      <w:r w:rsidRPr="00DA6FAB">
        <w:t xml:space="preserve"> </w:t>
      </w:r>
      <w:proofErr w:type="spellStart"/>
      <w:r w:rsidRPr="00DA6FAB">
        <w:t>using</w:t>
      </w:r>
      <w:proofErr w:type="spellEnd"/>
      <w:r w:rsidRPr="00DA6FAB">
        <w:t xml:space="preserve"> </w:t>
      </w:r>
      <w:proofErr w:type="spellStart"/>
      <w:r w:rsidRPr="00DA6FAB">
        <w:t>impedance</w:t>
      </w:r>
      <w:proofErr w:type="spellEnd"/>
      <w:r w:rsidRPr="00DA6FAB">
        <w:t xml:space="preserve"> </w:t>
      </w:r>
      <w:proofErr w:type="spellStart"/>
      <w:r w:rsidRPr="00DA6FAB">
        <w:t>aggregometry</w:t>
      </w:r>
      <w:proofErr w:type="spellEnd"/>
      <w:r w:rsidRPr="00DA6FAB">
        <w:t xml:space="preserve">. Clin </w:t>
      </w:r>
      <w:proofErr w:type="spellStart"/>
      <w:r w:rsidRPr="00DA6FAB">
        <w:t>Appl</w:t>
      </w:r>
      <w:proofErr w:type="spellEnd"/>
      <w:r w:rsidRPr="00DA6FAB">
        <w:t xml:space="preserve"> </w:t>
      </w:r>
      <w:proofErr w:type="spellStart"/>
      <w:r w:rsidRPr="00DA6FAB">
        <w:t>Thromb</w:t>
      </w:r>
      <w:proofErr w:type="spellEnd"/>
      <w:r w:rsidRPr="00DA6FAB">
        <w:t xml:space="preserve"> </w:t>
      </w:r>
      <w:proofErr w:type="spellStart"/>
      <w:r w:rsidRPr="00DA6FAB">
        <w:t>Hemost</w:t>
      </w:r>
      <w:proofErr w:type="spellEnd"/>
      <w:r w:rsidRPr="00DA6FAB">
        <w:t>. 2017; 23:255-65.</w:t>
      </w:r>
    </w:p>
    <w:p w14:paraId="4F15715D"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t>Storey</w:t>
      </w:r>
      <w:proofErr w:type="spellEnd"/>
      <w:r w:rsidRPr="00DA6FAB">
        <w:t xml:space="preserve"> RF et al.  </w:t>
      </w:r>
      <w:proofErr w:type="spellStart"/>
      <w:r w:rsidRPr="00DA6FAB">
        <w:t>Earlier</w:t>
      </w:r>
      <w:proofErr w:type="spellEnd"/>
      <w:r w:rsidRPr="00DA6FAB">
        <w:t xml:space="preserve"> </w:t>
      </w:r>
      <w:proofErr w:type="spellStart"/>
      <w:r w:rsidRPr="00DA6FAB">
        <w:t>recovery</w:t>
      </w:r>
      <w:proofErr w:type="spellEnd"/>
      <w:r w:rsidRPr="00DA6FAB">
        <w:t xml:space="preserve"> of </w:t>
      </w:r>
      <w:proofErr w:type="spellStart"/>
      <w:r w:rsidRPr="00DA6FAB">
        <w:t>platelet</w:t>
      </w:r>
      <w:proofErr w:type="spellEnd"/>
      <w:r w:rsidRPr="00DA6FAB">
        <w:t xml:space="preserve"> </w:t>
      </w:r>
      <w:proofErr w:type="spellStart"/>
      <w:r w:rsidRPr="00DA6FAB">
        <w:t>function</w:t>
      </w:r>
      <w:proofErr w:type="spellEnd"/>
      <w:r w:rsidRPr="00DA6FAB">
        <w:t xml:space="preserve"> </w:t>
      </w:r>
      <w:proofErr w:type="spellStart"/>
      <w:r w:rsidRPr="00DA6FAB">
        <w:t>after</w:t>
      </w:r>
      <w:proofErr w:type="spellEnd"/>
      <w:r w:rsidRPr="00DA6FAB">
        <w:t xml:space="preserve"> </w:t>
      </w:r>
      <w:proofErr w:type="spellStart"/>
      <w:r w:rsidRPr="00DA6FAB">
        <w:t>discontinuation</w:t>
      </w:r>
      <w:proofErr w:type="spellEnd"/>
      <w:r w:rsidRPr="00DA6FAB">
        <w:t xml:space="preserve"> of </w:t>
      </w:r>
      <w:proofErr w:type="spellStart"/>
      <w:r w:rsidRPr="00DA6FAB">
        <w:t>treatment</w:t>
      </w:r>
      <w:proofErr w:type="spellEnd"/>
      <w:r w:rsidRPr="00DA6FAB">
        <w:t xml:space="preserve"> </w:t>
      </w:r>
      <w:proofErr w:type="spellStart"/>
      <w:r w:rsidRPr="00DA6FAB">
        <w:t>with</w:t>
      </w:r>
      <w:proofErr w:type="spellEnd"/>
      <w:r w:rsidRPr="00DA6FAB">
        <w:t xml:space="preserve"> </w:t>
      </w:r>
      <w:proofErr w:type="spellStart"/>
      <w:r w:rsidRPr="00DA6FAB">
        <w:t>ticagrelor</w:t>
      </w:r>
      <w:proofErr w:type="spellEnd"/>
      <w:r w:rsidRPr="00DA6FAB">
        <w:t xml:space="preserve"> </w:t>
      </w:r>
      <w:proofErr w:type="spellStart"/>
      <w:r w:rsidRPr="00DA6FAB">
        <w:t>compared</w:t>
      </w:r>
      <w:proofErr w:type="spellEnd"/>
      <w:r w:rsidRPr="00DA6FAB">
        <w:t xml:space="preserve"> </w:t>
      </w:r>
      <w:proofErr w:type="spellStart"/>
      <w:r w:rsidRPr="00DA6FAB">
        <w:t>with</w:t>
      </w:r>
      <w:proofErr w:type="spellEnd"/>
      <w:r w:rsidRPr="00DA6FAB">
        <w:t xml:space="preserve"> </w:t>
      </w:r>
      <w:proofErr w:type="spellStart"/>
      <w:r w:rsidRPr="00DA6FAB">
        <w:t>clopidogrel</w:t>
      </w:r>
      <w:proofErr w:type="spellEnd"/>
      <w:r w:rsidRPr="00DA6FAB">
        <w:t xml:space="preserve"> in </w:t>
      </w:r>
      <w:proofErr w:type="spellStart"/>
      <w:r w:rsidRPr="00DA6FAB">
        <w:t>patients</w:t>
      </w:r>
      <w:proofErr w:type="spellEnd"/>
      <w:r w:rsidRPr="00DA6FAB">
        <w:t xml:space="preserve"> </w:t>
      </w:r>
      <w:proofErr w:type="spellStart"/>
      <w:r w:rsidRPr="00DA6FAB">
        <w:t>with</w:t>
      </w:r>
      <w:proofErr w:type="spellEnd"/>
      <w:r w:rsidRPr="00DA6FAB">
        <w:t xml:space="preserve"> </w:t>
      </w:r>
      <w:proofErr w:type="spellStart"/>
      <w:r w:rsidRPr="00DA6FAB">
        <w:t>high</w:t>
      </w:r>
      <w:proofErr w:type="spellEnd"/>
      <w:r w:rsidRPr="00DA6FAB">
        <w:t xml:space="preserve"> </w:t>
      </w:r>
      <w:proofErr w:type="spellStart"/>
      <w:r w:rsidRPr="00DA6FAB">
        <w:t>antiplatelet</w:t>
      </w:r>
      <w:proofErr w:type="spellEnd"/>
      <w:r w:rsidRPr="00DA6FAB">
        <w:t xml:space="preserve"> </w:t>
      </w:r>
      <w:proofErr w:type="spellStart"/>
      <w:r w:rsidRPr="00DA6FAB">
        <w:t>responses</w:t>
      </w:r>
      <w:proofErr w:type="spellEnd"/>
      <w:r w:rsidRPr="00DA6FAB">
        <w:t xml:space="preserve">. J </w:t>
      </w:r>
      <w:proofErr w:type="spellStart"/>
      <w:r w:rsidRPr="00DA6FAB">
        <w:t>Thromb</w:t>
      </w:r>
      <w:proofErr w:type="spellEnd"/>
      <w:r w:rsidRPr="00DA6FAB">
        <w:t xml:space="preserve"> </w:t>
      </w:r>
      <w:proofErr w:type="spellStart"/>
      <w:r w:rsidRPr="00DA6FAB">
        <w:t>Haemost</w:t>
      </w:r>
      <w:proofErr w:type="spellEnd"/>
      <w:r w:rsidRPr="00DA6FAB">
        <w:t xml:space="preserve">. 2011; 9:1730-7. </w:t>
      </w:r>
    </w:p>
    <w:p w14:paraId="04AADCEC"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t>Wiviott</w:t>
      </w:r>
      <w:proofErr w:type="spellEnd"/>
      <w:r w:rsidRPr="00DA6FAB">
        <w:t xml:space="preserve"> SD et al. </w:t>
      </w:r>
      <w:proofErr w:type="spellStart"/>
      <w:r w:rsidRPr="00DA6FAB">
        <w:t>Prasugrel</w:t>
      </w:r>
      <w:proofErr w:type="spellEnd"/>
      <w:r w:rsidRPr="00DA6FAB">
        <w:t xml:space="preserve">. </w:t>
      </w:r>
      <w:proofErr w:type="spellStart"/>
      <w:r w:rsidRPr="00DA6FAB">
        <w:t>Circulation</w:t>
      </w:r>
      <w:proofErr w:type="spellEnd"/>
      <w:r w:rsidRPr="00DA6FAB">
        <w:t>. 2010; 122:394- 403.</w:t>
      </w:r>
    </w:p>
    <w:p w14:paraId="29E9FEEF" w14:textId="77777777" w:rsidR="00DA6FAB" w:rsidRPr="00DA6FAB" w:rsidRDefault="00DA6FAB" w:rsidP="00DA6FAB">
      <w:pPr>
        <w:pStyle w:val="Prrafodelista"/>
        <w:numPr>
          <w:ilvl w:val="0"/>
          <w:numId w:val="17"/>
        </w:numPr>
        <w:spacing w:after="160" w:line="259" w:lineRule="auto"/>
        <w:rPr>
          <w:rFonts w:cs="Arial"/>
        </w:rPr>
      </w:pPr>
      <w:r w:rsidRPr="00DA6FAB">
        <w:t xml:space="preserve">Singla S et al. </w:t>
      </w:r>
      <w:proofErr w:type="spellStart"/>
      <w:r w:rsidRPr="00DA6FAB">
        <w:t>The</w:t>
      </w:r>
      <w:proofErr w:type="spellEnd"/>
      <w:r w:rsidRPr="00DA6FAB">
        <w:t xml:space="preserve"> </w:t>
      </w:r>
      <w:proofErr w:type="spellStart"/>
      <w:r w:rsidRPr="00DA6FAB">
        <w:t>risk</w:t>
      </w:r>
      <w:proofErr w:type="spellEnd"/>
      <w:r w:rsidRPr="00DA6FAB">
        <w:t xml:space="preserve"> of </w:t>
      </w:r>
      <w:proofErr w:type="spellStart"/>
      <w:r w:rsidRPr="00DA6FAB">
        <w:t>adverse</w:t>
      </w:r>
      <w:proofErr w:type="spellEnd"/>
      <w:r w:rsidRPr="00DA6FAB">
        <w:t xml:space="preserve"> </w:t>
      </w:r>
      <w:proofErr w:type="spellStart"/>
      <w:r w:rsidRPr="00DA6FAB">
        <w:t>cardiac</w:t>
      </w:r>
      <w:proofErr w:type="spellEnd"/>
      <w:r w:rsidRPr="00DA6FAB">
        <w:t xml:space="preserve"> </w:t>
      </w:r>
      <w:proofErr w:type="spellStart"/>
      <w:r w:rsidRPr="00DA6FAB">
        <w:t>and</w:t>
      </w:r>
      <w:proofErr w:type="spellEnd"/>
      <w:r w:rsidRPr="00DA6FAB">
        <w:t xml:space="preserve"> </w:t>
      </w:r>
      <w:proofErr w:type="spellStart"/>
      <w:r w:rsidRPr="00DA6FAB">
        <w:t>bleeding</w:t>
      </w:r>
      <w:proofErr w:type="spellEnd"/>
      <w:r w:rsidRPr="00DA6FAB">
        <w:t xml:space="preserve"> </w:t>
      </w:r>
      <w:proofErr w:type="spellStart"/>
      <w:r w:rsidRPr="00DA6FAB">
        <w:t>events</w:t>
      </w:r>
      <w:proofErr w:type="spellEnd"/>
      <w:r w:rsidRPr="00DA6FAB">
        <w:t xml:space="preserve"> </w:t>
      </w:r>
      <w:proofErr w:type="spellStart"/>
      <w:r w:rsidRPr="00DA6FAB">
        <w:t>following</w:t>
      </w:r>
      <w:proofErr w:type="spellEnd"/>
      <w:r w:rsidRPr="00DA6FAB">
        <w:t xml:space="preserve"> non </w:t>
      </w:r>
      <w:proofErr w:type="spellStart"/>
      <w:r w:rsidRPr="00DA6FAB">
        <w:t>cardiac</w:t>
      </w:r>
      <w:proofErr w:type="spellEnd"/>
      <w:r w:rsidRPr="00DA6FAB">
        <w:t xml:space="preserve"> </w:t>
      </w:r>
      <w:proofErr w:type="spellStart"/>
      <w:r w:rsidRPr="00DA6FAB">
        <w:t>surgery</w:t>
      </w:r>
      <w:proofErr w:type="spellEnd"/>
      <w:r w:rsidRPr="00DA6FAB">
        <w:t xml:space="preserve"> </w:t>
      </w:r>
      <w:proofErr w:type="spellStart"/>
      <w:r w:rsidRPr="00DA6FAB">
        <w:t>relative</w:t>
      </w:r>
      <w:proofErr w:type="spellEnd"/>
      <w:r w:rsidRPr="00DA6FAB">
        <w:t xml:space="preserve"> to </w:t>
      </w:r>
      <w:proofErr w:type="spellStart"/>
      <w:r w:rsidRPr="00DA6FAB">
        <w:t>antiplatelet</w:t>
      </w:r>
      <w:proofErr w:type="spellEnd"/>
      <w:r w:rsidRPr="00DA6FAB">
        <w:t xml:space="preserve"> </w:t>
      </w:r>
      <w:proofErr w:type="spellStart"/>
      <w:r w:rsidRPr="00DA6FAB">
        <w:t>therapy</w:t>
      </w:r>
      <w:proofErr w:type="spellEnd"/>
      <w:r w:rsidRPr="00DA6FAB">
        <w:t xml:space="preserve"> in </w:t>
      </w:r>
      <w:proofErr w:type="spellStart"/>
      <w:r w:rsidRPr="00DA6FAB">
        <w:t>patients</w:t>
      </w:r>
      <w:proofErr w:type="spellEnd"/>
      <w:r w:rsidRPr="00DA6FAB">
        <w:t xml:space="preserve"> </w:t>
      </w:r>
      <w:proofErr w:type="spellStart"/>
      <w:r w:rsidRPr="00DA6FAB">
        <w:t>with</w:t>
      </w:r>
      <w:proofErr w:type="spellEnd"/>
      <w:r w:rsidRPr="00DA6FAB">
        <w:t xml:space="preserve"> prior </w:t>
      </w:r>
      <w:proofErr w:type="spellStart"/>
      <w:r w:rsidRPr="00DA6FAB">
        <w:t>percutaneous</w:t>
      </w:r>
      <w:proofErr w:type="spellEnd"/>
      <w:r w:rsidRPr="00DA6FAB">
        <w:t xml:space="preserve"> </w:t>
      </w:r>
      <w:proofErr w:type="spellStart"/>
      <w:r w:rsidRPr="00DA6FAB">
        <w:t>coronary</w:t>
      </w:r>
      <w:proofErr w:type="spellEnd"/>
      <w:r w:rsidRPr="00DA6FAB">
        <w:t xml:space="preserve"> </w:t>
      </w:r>
      <w:proofErr w:type="spellStart"/>
      <w:r w:rsidRPr="00DA6FAB">
        <w:t>intervention</w:t>
      </w:r>
      <w:proofErr w:type="spellEnd"/>
      <w:r w:rsidRPr="00DA6FAB">
        <w:t xml:space="preserve">. J Am Coll </w:t>
      </w:r>
      <w:proofErr w:type="spellStart"/>
      <w:r w:rsidRPr="00DA6FAB">
        <w:t>Cardiol</w:t>
      </w:r>
      <w:proofErr w:type="spellEnd"/>
      <w:r w:rsidRPr="00DA6FAB">
        <w:t>. 2012; 60:2005-16.</w:t>
      </w:r>
    </w:p>
    <w:p w14:paraId="10E5EF51"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t>Tarrant</w:t>
      </w:r>
      <w:proofErr w:type="spellEnd"/>
      <w:r w:rsidRPr="00DA6FAB">
        <w:t xml:space="preserve"> et al. Dual </w:t>
      </w:r>
      <w:proofErr w:type="spellStart"/>
      <w:r w:rsidRPr="00DA6FAB">
        <w:t>Antiplatelet</w:t>
      </w:r>
      <w:proofErr w:type="spellEnd"/>
      <w:r w:rsidRPr="00DA6FAB">
        <w:t xml:space="preserve"> </w:t>
      </w:r>
      <w:proofErr w:type="spellStart"/>
      <w:r w:rsidRPr="00DA6FAB">
        <w:t>Therapy</w:t>
      </w:r>
      <w:proofErr w:type="spellEnd"/>
      <w:r w:rsidRPr="00DA6FAB">
        <w:t xml:space="preserve"> </w:t>
      </w:r>
      <w:proofErr w:type="spellStart"/>
      <w:r w:rsidRPr="00DA6FAB">
        <w:t>and</w:t>
      </w:r>
      <w:proofErr w:type="spellEnd"/>
      <w:r w:rsidRPr="00DA6FAB">
        <w:t xml:space="preserve"> </w:t>
      </w:r>
      <w:proofErr w:type="spellStart"/>
      <w:r w:rsidRPr="00DA6FAB">
        <w:t>Surgical</w:t>
      </w:r>
      <w:proofErr w:type="spellEnd"/>
      <w:r w:rsidRPr="00DA6FAB">
        <w:t xml:space="preserve"> </w:t>
      </w:r>
      <w:proofErr w:type="spellStart"/>
      <w:r w:rsidRPr="00DA6FAB">
        <w:t>Timing</w:t>
      </w:r>
      <w:proofErr w:type="spellEnd"/>
      <w:r w:rsidRPr="00DA6FAB">
        <w:t xml:space="preserve"> in </w:t>
      </w:r>
      <w:proofErr w:type="spellStart"/>
      <w:r w:rsidRPr="00DA6FAB">
        <w:t>Geriatric</w:t>
      </w:r>
      <w:proofErr w:type="spellEnd"/>
      <w:r w:rsidRPr="00DA6FAB">
        <w:t xml:space="preserve"> </w:t>
      </w:r>
      <w:proofErr w:type="spellStart"/>
      <w:r w:rsidRPr="00DA6FAB">
        <w:t>Hip</w:t>
      </w:r>
      <w:proofErr w:type="spellEnd"/>
      <w:r w:rsidRPr="00DA6FAB">
        <w:t xml:space="preserve"> </w:t>
      </w:r>
      <w:proofErr w:type="spellStart"/>
      <w:r w:rsidRPr="00DA6FAB">
        <w:t>Fracture</w:t>
      </w:r>
      <w:proofErr w:type="spellEnd"/>
      <w:r w:rsidRPr="00DA6FAB">
        <w:t xml:space="preserve">. J </w:t>
      </w:r>
      <w:proofErr w:type="spellStart"/>
      <w:r w:rsidRPr="00DA6FAB">
        <w:t>Orthop</w:t>
      </w:r>
      <w:proofErr w:type="spellEnd"/>
      <w:r w:rsidRPr="00DA6FAB">
        <w:t xml:space="preserve"> Trauma 2020;34:559–565.</w:t>
      </w:r>
    </w:p>
    <w:p w14:paraId="601ABDC2" w14:textId="77777777" w:rsidR="00DA6FAB" w:rsidRPr="00DA6FAB" w:rsidRDefault="00DA6FAB" w:rsidP="00DA6FAB">
      <w:pPr>
        <w:pStyle w:val="Prrafodelista"/>
        <w:numPr>
          <w:ilvl w:val="0"/>
          <w:numId w:val="17"/>
        </w:numPr>
        <w:spacing w:after="160" w:line="259" w:lineRule="auto"/>
        <w:rPr>
          <w:rFonts w:cs="Arial"/>
        </w:rPr>
      </w:pPr>
      <w:r w:rsidRPr="00DA6FAB">
        <w:t xml:space="preserve">George JN. </w:t>
      </w:r>
      <w:proofErr w:type="spellStart"/>
      <w:r w:rsidRPr="00DA6FAB">
        <w:t>Platelets</w:t>
      </w:r>
      <w:proofErr w:type="spellEnd"/>
      <w:r w:rsidRPr="00DA6FAB">
        <w:t xml:space="preserve">. </w:t>
      </w:r>
      <w:proofErr w:type="spellStart"/>
      <w:r w:rsidRPr="00DA6FAB">
        <w:t>Lancet</w:t>
      </w:r>
      <w:proofErr w:type="spellEnd"/>
      <w:r w:rsidRPr="00DA6FAB">
        <w:t>. 2000; 355:1531-9.</w:t>
      </w:r>
    </w:p>
    <w:p w14:paraId="7CEE9251"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t>Tarrant</w:t>
      </w:r>
      <w:proofErr w:type="spellEnd"/>
      <w:r w:rsidRPr="00DA6FAB">
        <w:t xml:space="preserve"> el al. Direct Oral Anticoagulants </w:t>
      </w:r>
      <w:proofErr w:type="spellStart"/>
      <w:r w:rsidRPr="00DA6FAB">
        <w:t>and</w:t>
      </w:r>
      <w:proofErr w:type="spellEnd"/>
      <w:r w:rsidRPr="00DA6FAB">
        <w:t xml:space="preserve"> </w:t>
      </w:r>
      <w:proofErr w:type="spellStart"/>
      <w:r w:rsidRPr="00DA6FAB">
        <w:t>Timing</w:t>
      </w:r>
      <w:proofErr w:type="spellEnd"/>
      <w:r w:rsidRPr="00DA6FAB">
        <w:t xml:space="preserve"> of </w:t>
      </w:r>
      <w:proofErr w:type="spellStart"/>
      <w:r w:rsidRPr="00DA6FAB">
        <w:t>Hip</w:t>
      </w:r>
      <w:proofErr w:type="spellEnd"/>
      <w:r w:rsidRPr="00DA6FAB">
        <w:t xml:space="preserve"> </w:t>
      </w:r>
      <w:proofErr w:type="spellStart"/>
      <w:r w:rsidRPr="00DA6FAB">
        <w:t>Fracture</w:t>
      </w:r>
      <w:proofErr w:type="spellEnd"/>
      <w:r w:rsidRPr="00DA6FAB">
        <w:t xml:space="preserve"> </w:t>
      </w:r>
      <w:proofErr w:type="spellStart"/>
      <w:r w:rsidRPr="00DA6FAB">
        <w:t>Surgery</w:t>
      </w:r>
      <w:proofErr w:type="spellEnd"/>
      <w:r w:rsidRPr="00DA6FAB">
        <w:t xml:space="preserve">. J. Clin. </w:t>
      </w:r>
      <w:proofErr w:type="spellStart"/>
      <w:r w:rsidRPr="00DA6FAB">
        <w:t>Med</w:t>
      </w:r>
      <w:proofErr w:type="spellEnd"/>
      <w:r w:rsidRPr="00DA6FAB">
        <w:t>. 2020, 9, 2200; doi:10.3390/jcm9072200</w:t>
      </w:r>
    </w:p>
    <w:p w14:paraId="67701B45" w14:textId="77777777" w:rsidR="00DA6FAB" w:rsidRPr="00DA6FAB" w:rsidRDefault="00DA6FAB" w:rsidP="00DA6FAB">
      <w:pPr>
        <w:pStyle w:val="Prrafodelista"/>
        <w:numPr>
          <w:ilvl w:val="0"/>
          <w:numId w:val="17"/>
        </w:numPr>
        <w:spacing w:after="160" w:line="259" w:lineRule="auto"/>
        <w:rPr>
          <w:rFonts w:cs="Arial"/>
        </w:rPr>
      </w:pPr>
      <w:r w:rsidRPr="00DA6FAB">
        <w:t xml:space="preserve">Caruso et al. </w:t>
      </w:r>
      <w:proofErr w:type="spellStart"/>
      <w:r w:rsidRPr="00DA6FAB">
        <w:t>The</w:t>
      </w:r>
      <w:proofErr w:type="spellEnd"/>
      <w:r w:rsidRPr="00DA6FAB">
        <w:t xml:space="preserve"> </w:t>
      </w:r>
      <w:proofErr w:type="spellStart"/>
      <w:r w:rsidRPr="00DA6FAB">
        <w:t>impact</w:t>
      </w:r>
      <w:proofErr w:type="spellEnd"/>
      <w:r w:rsidRPr="00DA6FAB">
        <w:t xml:space="preserve"> of </w:t>
      </w:r>
      <w:proofErr w:type="spellStart"/>
      <w:r w:rsidRPr="00DA6FAB">
        <w:t>warfarin</w:t>
      </w:r>
      <w:proofErr w:type="spellEnd"/>
      <w:r w:rsidRPr="00DA6FAB">
        <w:t xml:space="preserve"> on </w:t>
      </w:r>
      <w:proofErr w:type="spellStart"/>
      <w:r w:rsidRPr="00DA6FAB">
        <w:t>operative</w:t>
      </w:r>
      <w:proofErr w:type="spellEnd"/>
      <w:r w:rsidRPr="00DA6FAB">
        <w:t xml:space="preserve"> </w:t>
      </w:r>
      <w:proofErr w:type="spellStart"/>
      <w:r w:rsidRPr="00DA6FAB">
        <w:t>delay</w:t>
      </w:r>
      <w:proofErr w:type="spellEnd"/>
      <w:r w:rsidRPr="00DA6FAB">
        <w:t xml:space="preserve"> </w:t>
      </w:r>
      <w:proofErr w:type="spellStart"/>
      <w:r w:rsidRPr="00DA6FAB">
        <w:t>and</w:t>
      </w:r>
      <w:proofErr w:type="spellEnd"/>
      <w:r w:rsidRPr="00DA6FAB">
        <w:t xml:space="preserve"> 1-year </w:t>
      </w:r>
      <w:proofErr w:type="spellStart"/>
      <w:r w:rsidRPr="00DA6FAB">
        <w:t>mortality</w:t>
      </w:r>
      <w:proofErr w:type="spellEnd"/>
      <w:r w:rsidRPr="00DA6FAB">
        <w:t xml:space="preserve"> in </w:t>
      </w:r>
      <w:proofErr w:type="spellStart"/>
      <w:r w:rsidRPr="00DA6FAB">
        <w:t>elderly</w:t>
      </w:r>
      <w:proofErr w:type="spellEnd"/>
      <w:r w:rsidRPr="00DA6FAB">
        <w:t xml:space="preserve"> </w:t>
      </w:r>
      <w:proofErr w:type="spellStart"/>
      <w:r w:rsidRPr="00DA6FAB">
        <w:t>patients</w:t>
      </w:r>
      <w:proofErr w:type="spellEnd"/>
      <w:r w:rsidRPr="00DA6FAB">
        <w:t xml:space="preserve"> </w:t>
      </w:r>
      <w:proofErr w:type="spellStart"/>
      <w:r w:rsidRPr="00DA6FAB">
        <w:t>with</w:t>
      </w:r>
      <w:proofErr w:type="spellEnd"/>
      <w:r w:rsidRPr="00DA6FAB">
        <w:t xml:space="preserve"> </w:t>
      </w:r>
      <w:proofErr w:type="spellStart"/>
      <w:r w:rsidRPr="00DA6FAB">
        <w:t>hip</w:t>
      </w:r>
      <w:proofErr w:type="spellEnd"/>
      <w:r w:rsidRPr="00DA6FAB">
        <w:t xml:space="preserve"> </w:t>
      </w:r>
      <w:proofErr w:type="spellStart"/>
      <w:r w:rsidRPr="00DA6FAB">
        <w:t>fracture</w:t>
      </w:r>
      <w:proofErr w:type="spellEnd"/>
      <w:r w:rsidRPr="00DA6FAB">
        <w:t xml:space="preserve">: a </w:t>
      </w:r>
      <w:proofErr w:type="spellStart"/>
      <w:r w:rsidRPr="00DA6FAB">
        <w:t>retrospective</w:t>
      </w:r>
      <w:proofErr w:type="spellEnd"/>
      <w:r w:rsidRPr="00DA6FAB">
        <w:t xml:space="preserve"> </w:t>
      </w:r>
      <w:proofErr w:type="spellStart"/>
      <w:r w:rsidRPr="00DA6FAB">
        <w:t>observational</w:t>
      </w:r>
      <w:proofErr w:type="spellEnd"/>
      <w:r w:rsidRPr="00DA6FAB">
        <w:t xml:space="preserve"> </w:t>
      </w:r>
      <w:proofErr w:type="spellStart"/>
      <w:r w:rsidRPr="00DA6FAB">
        <w:t>study</w:t>
      </w:r>
      <w:proofErr w:type="spellEnd"/>
      <w:r w:rsidRPr="00DA6FAB">
        <w:t xml:space="preserve">. </w:t>
      </w:r>
      <w:proofErr w:type="spellStart"/>
      <w:r w:rsidRPr="00DA6FAB">
        <w:t>Journal</w:t>
      </w:r>
      <w:proofErr w:type="spellEnd"/>
      <w:r w:rsidRPr="00DA6FAB">
        <w:t xml:space="preserve"> of </w:t>
      </w:r>
      <w:proofErr w:type="spellStart"/>
      <w:r w:rsidRPr="00DA6FAB">
        <w:t>Orthopaedic</w:t>
      </w:r>
      <w:proofErr w:type="spellEnd"/>
      <w:r w:rsidRPr="00DA6FAB">
        <w:t xml:space="preserve"> </w:t>
      </w:r>
      <w:proofErr w:type="spellStart"/>
      <w:r w:rsidRPr="00DA6FAB">
        <w:t>Surgery</w:t>
      </w:r>
      <w:proofErr w:type="spellEnd"/>
      <w:r w:rsidRPr="00DA6FAB">
        <w:t xml:space="preserve"> </w:t>
      </w:r>
      <w:proofErr w:type="spellStart"/>
      <w:r w:rsidRPr="00DA6FAB">
        <w:t>and</w:t>
      </w:r>
      <w:proofErr w:type="spellEnd"/>
      <w:r w:rsidRPr="00DA6FAB">
        <w:t xml:space="preserve"> </w:t>
      </w:r>
      <w:proofErr w:type="spellStart"/>
      <w:r w:rsidRPr="00DA6FAB">
        <w:t>Research</w:t>
      </w:r>
      <w:proofErr w:type="spellEnd"/>
      <w:r w:rsidRPr="00DA6FAB">
        <w:t xml:space="preserve"> (2019) 14:169 </w:t>
      </w:r>
      <w:hyperlink r:id="rId20" w:history="1">
        <w:r w:rsidRPr="00DA6FAB">
          <w:rPr>
            <w:rStyle w:val="Hipervnculo"/>
          </w:rPr>
          <w:t>https://doi.org/10.1186/s13018-019-1199-5</w:t>
        </w:r>
      </w:hyperlink>
    </w:p>
    <w:p w14:paraId="52D30AFE"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t>Xu</w:t>
      </w:r>
      <w:proofErr w:type="spellEnd"/>
      <w:r w:rsidRPr="00DA6FAB">
        <w:t xml:space="preserve"> et al. </w:t>
      </w:r>
      <w:proofErr w:type="spellStart"/>
      <w:r w:rsidRPr="00DA6FAB">
        <w:t>Effect</w:t>
      </w:r>
      <w:proofErr w:type="spellEnd"/>
      <w:r w:rsidRPr="00DA6FAB">
        <w:t xml:space="preserve"> of oral anticoagulants on </w:t>
      </w:r>
      <w:proofErr w:type="spellStart"/>
      <w:r w:rsidRPr="00DA6FAB">
        <w:t>hemostatic</w:t>
      </w:r>
      <w:proofErr w:type="spellEnd"/>
      <w:r w:rsidRPr="00DA6FAB">
        <w:t xml:space="preserve"> </w:t>
      </w:r>
      <w:proofErr w:type="spellStart"/>
      <w:r w:rsidRPr="00DA6FAB">
        <w:t>and</w:t>
      </w:r>
      <w:proofErr w:type="spellEnd"/>
      <w:r w:rsidRPr="00DA6FAB">
        <w:t xml:space="preserve"> </w:t>
      </w:r>
      <w:proofErr w:type="spellStart"/>
      <w:r w:rsidRPr="00DA6FAB">
        <w:t>thromboembolic</w:t>
      </w:r>
      <w:proofErr w:type="spellEnd"/>
      <w:r w:rsidRPr="00DA6FAB">
        <w:t xml:space="preserve"> </w:t>
      </w:r>
      <w:proofErr w:type="spellStart"/>
      <w:r w:rsidRPr="00DA6FAB">
        <w:t>complications</w:t>
      </w:r>
      <w:proofErr w:type="spellEnd"/>
      <w:r w:rsidRPr="00DA6FAB">
        <w:t xml:space="preserve"> in </w:t>
      </w:r>
      <w:proofErr w:type="spellStart"/>
      <w:r w:rsidRPr="00DA6FAB">
        <w:t>hip</w:t>
      </w:r>
      <w:proofErr w:type="spellEnd"/>
      <w:r w:rsidRPr="00DA6FAB">
        <w:t xml:space="preserve"> </w:t>
      </w:r>
      <w:proofErr w:type="spellStart"/>
      <w:r w:rsidRPr="00DA6FAB">
        <w:t>fracture</w:t>
      </w:r>
      <w:proofErr w:type="spellEnd"/>
      <w:r w:rsidRPr="00DA6FAB">
        <w:t xml:space="preserve">: A </w:t>
      </w:r>
      <w:proofErr w:type="spellStart"/>
      <w:r w:rsidRPr="00DA6FAB">
        <w:t>systematic</w:t>
      </w:r>
      <w:proofErr w:type="spellEnd"/>
      <w:r w:rsidRPr="00DA6FAB">
        <w:t xml:space="preserve"> </w:t>
      </w:r>
      <w:proofErr w:type="spellStart"/>
      <w:r w:rsidRPr="00DA6FAB">
        <w:t>review</w:t>
      </w:r>
      <w:proofErr w:type="spellEnd"/>
      <w:r w:rsidRPr="00DA6FAB">
        <w:t xml:space="preserve"> </w:t>
      </w:r>
      <w:proofErr w:type="spellStart"/>
      <w:r w:rsidRPr="00DA6FAB">
        <w:t>and</w:t>
      </w:r>
      <w:proofErr w:type="spellEnd"/>
      <w:r w:rsidRPr="00DA6FAB">
        <w:t xml:space="preserve"> meta-</w:t>
      </w:r>
      <w:proofErr w:type="spellStart"/>
      <w:r w:rsidRPr="00DA6FAB">
        <w:t>analysis</w:t>
      </w:r>
      <w:proofErr w:type="spellEnd"/>
      <w:r w:rsidRPr="00DA6FAB">
        <w:t xml:space="preserve">. J </w:t>
      </w:r>
      <w:proofErr w:type="spellStart"/>
      <w:r w:rsidRPr="00DA6FAB">
        <w:t>Thromb</w:t>
      </w:r>
      <w:proofErr w:type="spellEnd"/>
      <w:r w:rsidRPr="00DA6FAB">
        <w:t xml:space="preserve"> </w:t>
      </w:r>
      <w:proofErr w:type="spellStart"/>
      <w:r w:rsidRPr="00DA6FAB">
        <w:t>Haemost</w:t>
      </w:r>
      <w:proofErr w:type="spellEnd"/>
      <w:r w:rsidRPr="00DA6FAB">
        <w:t>. 2020;18:2566–2581</w:t>
      </w:r>
    </w:p>
    <w:p w14:paraId="0559A5D1"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t>Rostagno</w:t>
      </w:r>
      <w:proofErr w:type="spellEnd"/>
      <w:r w:rsidRPr="00DA6FAB">
        <w:t xml:space="preserve"> et al. Management of </w:t>
      </w:r>
      <w:proofErr w:type="spellStart"/>
      <w:r w:rsidRPr="00DA6FAB">
        <w:t>ongoing</w:t>
      </w:r>
      <w:proofErr w:type="spellEnd"/>
      <w:r w:rsidRPr="00DA6FAB">
        <w:t xml:space="preserve"> </w:t>
      </w:r>
      <w:proofErr w:type="spellStart"/>
      <w:r w:rsidRPr="00DA6FAB">
        <w:t>direct</w:t>
      </w:r>
      <w:proofErr w:type="spellEnd"/>
      <w:r w:rsidRPr="00DA6FAB">
        <w:t xml:space="preserve"> anticoagulant </w:t>
      </w:r>
      <w:proofErr w:type="spellStart"/>
      <w:r w:rsidRPr="00DA6FAB">
        <w:t>treatment</w:t>
      </w:r>
      <w:proofErr w:type="spellEnd"/>
      <w:r w:rsidRPr="00DA6FAB">
        <w:t xml:space="preserve"> in </w:t>
      </w:r>
      <w:proofErr w:type="spellStart"/>
      <w:r w:rsidRPr="00DA6FAB">
        <w:t>patients</w:t>
      </w:r>
      <w:proofErr w:type="spellEnd"/>
      <w:r w:rsidRPr="00DA6FAB">
        <w:t xml:space="preserve"> </w:t>
      </w:r>
      <w:proofErr w:type="spellStart"/>
      <w:r w:rsidRPr="00DA6FAB">
        <w:t>with</w:t>
      </w:r>
      <w:proofErr w:type="spellEnd"/>
      <w:r w:rsidRPr="00DA6FAB">
        <w:t xml:space="preserve"> </w:t>
      </w:r>
      <w:proofErr w:type="spellStart"/>
      <w:r w:rsidRPr="00DA6FAB">
        <w:t>hip</w:t>
      </w:r>
      <w:proofErr w:type="spellEnd"/>
      <w:r w:rsidRPr="00DA6FAB">
        <w:t xml:space="preserve"> </w:t>
      </w:r>
      <w:proofErr w:type="spellStart"/>
      <w:r w:rsidRPr="00DA6FAB">
        <w:t>fracture</w:t>
      </w:r>
      <w:proofErr w:type="spellEnd"/>
      <w:r w:rsidRPr="00DA6FAB">
        <w:t xml:space="preserve">. </w:t>
      </w:r>
      <w:proofErr w:type="spellStart"/>
      <w:r w:rsidRPr="00DA6FAB">
        <w:t>Nature</w:t>
      </w:r>
      <w:proofErr w:type="spellEnd"/>
      <w:r w:rsidRPr="00DA6FAB">
        <w:t xml:space="preserve"> (2021) 11:9467. </w:t>
      </w:r>
      <w:hyperlink r:id="rId21" w:history="1">
        <w:r w:rsidRPr="00DA6FAB">
          <w:rPr>
            <w:rStyle w:val="Hipervnculo"/>
          </w:rPr>
          <w:t>https://doi.org/10.1038/s41598-021-89077-8</w:t>
        </w:r>
      </w:hyperlink>
      <w:r w:rsidRPr="00DA6FAB">
        <w:t>.</w:t>
      </w:r>
    </w:p>
    <w:p w14:paraId="5B3AF9D9"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rPr>
          <w:rFonts w:cs="Arial"/>
        </w:rPr>
        <w:t>White</w:t>
      </w:r>
      <w:proofErr w:type="spellEnd"/>
      <w:r w:rsidRPr="00DA6FAB">
        <w:rPr>
          <w:rFonts w:cs="Arial"/>
        </w:rPr>
        <w:t xml:space="preserve"> el al. </w:t>
      </w:r>
      <w:r w:rsidRPr="00DA6FAB">
        <w:t xml:space="preserve">Management of </w:t>
      </w:r>
      <w:proofErr w:type="spellStart"/>
      <w:r w:rsidRPr="00DA6FAB">
        <w:t>patients</w:t>
      </w:r>
      <w:proofErr w:type="spellEnd"/>
      <w:r w:rsidRPr="00DA6FAB">
        <w:t xml:space="preserve"> </w:t>
      </w:r>
      <w:proofErr w:type="spellStart"/>
      <w:r w:rsidRPr="00DA6FAB">
        <w:t>with</w:t>
      </w:r>
      <w:proofErr w:type="spellEnd"/>
      <w:r w:rsidRPr="00DA6FAB">
        <w:t xml:space="preserve"> </w:t>
      </w:r>
      <w:proofErr w:type="spellStart"/>
      <w:r w:rsidRPr="00DA6FAB">
        <w:t>hip</w:t>
      </w:r>
      <w:proofErr w:type="spellEnd"/>
      <w:r w:rsidRPr="00DA6FAB">
        <w:t xml:space="preserve"> </w:t>
      </w:r>
      <w:proofErr w:type="spellStart"/>
      <w:r w:rsidRPr="00DA6FAB">
        <w:t>fracture</w:t>
      </w:r>
      <w:proofErr w:type="spellEnd"/>
      <w:r w:rsidRPr="00DA6FAB">
        <w:t xml:space="preserve"> </w:t>
      </w:r>
      <w:proofErr w:type="spellStart"/>
      <w:r w:rsidRPr="00DA6FAB">
        <w:t>receiving</w:t>
      </w:r>
      <w:proofErr w:type="spellEnd"/>
      <w:r w:rsidRPr="00DA6FAB">
        <w:t xml:space="preserve"> </w:t>
      </w:r>
      <w:proofErr w:type="spellStart"/>
      <w:r w:rsidRPr="00DA6FAB">
        <w:t>anticoagulation</w:t>
      </w:r>
      <w:proofErr w:type="spellEnd"/>
      <w:r w:rsidRPr="00DA6FAB">
        <w:t xml:space="preserve">: </w:t>
      </w:r>
      <w:proofErr w:type="spellStart"/>
      <w:r w:rsidRPr="00DA6FAB">
        <w:t>What</w:t>
      </w:r>
      <w:proofErr w:type="spellEnd"/>
      <w:r w:rsidRPr="00DA6FAB">
        <w:t xml:space="preserve"> </w:t>
      </w:r>
      <w:proofErr w:type="spellStart"/>
      <w:r w:rsidRPr="00DA6FAB">
        <w:t>are</w:t>
      </w:r>
      <w:proofErr w:type="spellEnd"/>
      <w:r w:rsidRPr="00DA6FAB">
        <w:t xml:space="preserve"> </w:t>
      </w:r>
      <w:proofErr w:type="spellStart"/>
      <w:r w:rsidRPr="00DA6FAB">
        <w:t>we</w:t>
      </w:r>
      <w:proofErr w:type="spellEnd"/>
      <w:r w:rsidRPr="00DA6FAB">
        <w:t xml:space="preserve"> </w:t>
      </w:r>
      <w:proofErr w:type="spellStart"/>
      <w:r w:rsidRPr="00DA6FAB">
        <w:t>doing</w:t>
      </w:r>
      <w:proofErr w:type="spellEnd"/>
      <w:r w:rsidRPr="00DA6FAB">
        <w:t xml:space="preserve"> in Canada? Can J </w:t>
      </w:r>
      <w:proofErr w:type="spellStart"/>
      <w:r w:rsidRPr="00DA6FAB">
        <w:t>Surg</w:t>
      </w:r>
      <w:proofErr w:type="spellEnd"/>
      <w:r w:rsidRPr="00DA6FAB">
        <w:t xml:space="preserve"> 2021 </w:t>
      </w:r>
      <w:proofErr w:type="spellStart"/>
      <w:r w:rsidRPr="00DA6FAB">
        <w:t>October</w:t>
      </w:r>
      <w:proofErr w:type="spellEnd"/>
      <w:r w:rsidRPr="00DA6FAB">
        <w:t xml:space="preserve"> 1; 64(5). doi: 10.1503/cjs.018520</w:t>
      </w:r>
    </w:p>
    <w:p w14:paraId="008FD925"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rPr>
          <w:rFonts w:cs="Arial"/>
        </w:rPr>
        <w:t>Cuker</w:t>
      </w:r>
      <w:proofErr w:type="spellEnd"/>
      <w:r w:rsidRPr="00DA6FAB">
        <w:rPr>
          <w:rFonts w:cs="Arial"/>
        </w:rPr>
        <w:t xml:space="preserve"> A et al. </w:t>
      </w:r>
      <w:proofErr w:type="spellStart"/>
      <w:r w:rsidRPr="00DA6FAB">
        <w:rPr>
          <w:rFonts w:cs="Arial"/>
        </w:rPr>
        <w:t>Laboratory</w:t>
      </w:r>
      <w:proofErr w:type="spellEnd"/>
      <w:r w:rsidRPr="00DA6FAB">
        <w:rPr>
          <w:rFonts w:cs="Arial"/>
        </w:rPr>
        <w:t xml:space="preserve"> </w:t>
      </w:r>
      <w:proofErr w:type="spellStart"/>
      <w:r w:rsidRPr="00DA6FAB">
        <w:rPr>
          <w:rFonts w:cs="Arial"/>
        </w:rPr>
        <w:t>measurement</w:t>
      </w:r>
      <w:proofErr w:type="spellEnd"/>
      <w:r w:rsidRPr="00DA6FAB">
        <w:rPr>
          <w:rFonts w:cs="Arial"/>
        </w:rPr>
        <w:t xml:space="preserve"> of </w:t>
      </w:r>
      <w:proofErr w:type="spellStart"/>
      <w:r w:rsidRPr="00DA6FAB">
        <w:rPr>
          <w:rFonts w:cs="Arial"/>
        </w:rPr>
        <w:t>the</w:t>
      </w:r>
      <w:proofErr w:type="spellEnd"/>
      <w:r w:rsidRPr="00DA6FAB">
        <w:rPr>
          <w:rFonts w:cs="Arial"/>
        </w:rPr>
        <w:t xml:space="preserve"> anticoagulant </w:t>
      </w:r>
      <w:proofErr w:type="spellStart"/>
      <w:r w:rsidRPr="00DA6FAB">
        <w:rPr>
          <w:rFonts w:cs="Arial"/>
        </w:rPr>
        <w:t>activity</w:t>
      </w:r>
      <w:proofErr w:type="spellEnd"/>
      <w:r w:rsidRPr="00DA6FAB">
        <w:rPr>
          <w:rFonts w:cs="Arial"/>
        </w:rPr>
        <w:t xml:space="preserve"> of </w:t>
      </w:r>
      <w:proofErr w:type="spellStart"/>
      <w:r w:rsidRPr="00DA6FAB">
        <w:rPr>
          <w:rFonts w:cs="Arial"/>
        </w:rPr>
        <w:t>the</w:t>
      </w:r>
      <w:proofErr w:type="spellEnd"/>
      <w:r w:rsidRPr="00DA6FAB">
        <w:rPr>
          <w:rFonts w:cs="Arial"/>
        </w:rPr>
        <w:t xml:space="preserve"> non-</w:t>
      </w:r>
      <w:proofErr w:type="spellStart"/>
      <w:r w:rsidRPr="00DA6FAB">
        <w:rPr>
          <w:rFonts w:cs="Arial"/>
        </w:rPr>
        <w:t>vitamin</w:t>
      </w:r>
      <w:proofErr w:type="spellEnd"/>
      <w:r w:rsidRPr="00DA6FAB">
        <w:rPr>
          <w:rFonts w:cs="Arial"/>
        </w:rPr>
        <w:t xml:space="preserve"> K oral anticoagulants. J Am Coll </w:t>
      </w:r>
      <w:proofErr w:type="spellStart"/>
      <w:r w:rsidRPr="00DA6FAB">
        <w:rPr>
          <w:rFonts w:cs="Arial"/>
        </w:rPr>
        <w:t>Cardiol</w:t>
      </w:r>
      <w:proofErr w:type="spellEnd"/>
      <w:r w:rsidRPr="00DA6FAB">
        <w:rPr>
          <w:rFonts w:cs="Arial"/>
        </w:rPr>
        <w:t xml:space="preserve"> 2014; 64:1128-39.</w:t>
      </w:r>
    </w:p>
    <w:p w14:paraId="298A15B8" w14:textId="57B69CBF" w:rsidR="00DA6FAB" w:rsidRPr="00DA6FAB" w:rsidRDefault="00DA6FAB" w:rsidP="00DA6FAB">
      <w:pPr>
        <w:pStyle w:val="Prrafodelista"/>
        <w:numPr>
          <w:ilvl w:val="0"/>
          <w:numId w:val="17"/>
        </w:numPr>
        <w:spacing w:after="160" w:line="259" w:lineRule="auto"/>
        <w:rPr>
          <w:rFonts w:cs="Arial"/>
        </w:rPr>
      </w:pPr>
      <w:proofErr w:type="spellStart"/>
      <w:r w:rsidRPr="00DA6FAB">
        <w:rPr>
          <w:rFonts w:cs="Arial"/>
        </w:rPr>
        <w:t>Tomaselli</w:t>
      </w:r>
      <w:proofErr w:type="spellEnd"/>
      <w:r w:rsidRPr="00DA6FAB">
        <w:rPr>
          <w:rFonts w:cs="Arial"/>
        </w:rPr>
        <w:t xml:space="preserve"> GF et al. 2020 ACC expert </w:t>
      </w:r>
      <w:proofErr w:type="spellStart"/>
      <w:r w:rsidRPr="00DA6FAB">
        <w:rPr>
          <w:rFonts w:cs="Arial"/>
        </w:rPr>
        <w:t>consensus</w:t>
      </w:r>
      <w:proofErr w:type="spellEnd"/>
      <w:r w:rsidRPr="00DA6FAB">
        <w:rPr>
          <w:rFonts w:cs="Arial"/>
        </w:rPr>
        <w:t xml:space="preserve"> </w:t>
      </w:r>
      <w:proofErr w:type="spellStart"/>
      <w:r w:rsidRPr="00DA6FAB">
        <w:rPr>
          <w:rFonts w:cs="Arial"/>
        </w:rPr>
        <w:t>decision</w:t>
      </w:r>
      <w:proofErr w:type="spellEnd"/>
      <w:r w:rsidRPr="00DA6FAB">
        <w:rPr>
          <w:rFonts w:cs="Arial"/>
        </w:rPr>
        <w:t xml:space="preserve"> </w:t>
      </w:r>
      <w:proofErr w:type="spellStart"/>
      <w:r w:rsidRPr="00DA6FAB">
        <w:rPr>
          <w:rFonts w:cs="Arial"/>
        </w:rPr>
        <w:t>pathway</w:t>
      </w:r>
      <w:proofErr w:type="spellEnd"/>
      <w:r w:rsidRPr="00DA6FAB">
        <w:rPr>
          <w:rFonts w:cs="Arial"/>
        </w:rPr>
        <w:t xml:space="preserve"> on management of </w:t>
      </w:r>
      <w:proofErr w:type="spellStart"/>
      <w:r w:rsidRPr="00DA6FAB">
        <w:rPr>
          <w:rFonts w:cs="Arial"/>
        </w:rPr>
        <w:t>bleeding</w:t>
      </w:r>
      <w:proofErr w:type="spellEnd"/>
      <w:r w:rsidRPr="00DA6FAB">
        <w:rPr>
          <w:rFonts w:cs="Arial"/>
        </w:rPr>
        <w:t xml:space="preserve"> in </w:t>
      </w:r>
      <w:proofErr w:type="spellStart"/>
      <w:r w:rsidRPr="00DA6FAB">
        <w:rPr>
          <w:rFonts w:cs="Arial"/>
        </w:rPr>
        <w:t>patients</w:t>
      </w:r>
      <w:proofErr w:type="spellEnd"/>
      <w:r w:rsidRPr="00DA6FAB">
        <w:rPr>
          <w:rFonts w:cs="Arial"/>
        </w:rPr>
        <w:t xml:space="preserve"> on oral anticoagulants: a report of </w:t>
      </w:r>
      <w:proofErr w:type="spellStart"/>
      <w:r w:rsidRPr="00DA6FAB">
        <w:rPr>
          <w:rFonts w:cs="Arial"/>
        </w:rPr>
        <w:t>the</w:t>
      </w:r>
      <w:proofErr w:type="spellEnd"/>
      <w:r w:rsidRPr="00DA6FAB">
        <w:rPr>
          <w:rFonts w:cs="Arial"/>
        </w:rPr>
        <w:t xml:space="preserve"> American </w:t>
      </w:r>
      <w:proofErr w:type="spellStart"/>
      <w:r w:rsidRPr="00DA6FAB">
        <w:rPr>
          <w:rFonts w:cs="Arial"/>
        </w:rPr>
        <w:t>College</w:t>
      </w:r>
      <w:proofErr w:type="spellEnd"/>
      <w:r w:rsidRPr="00DA6FAB">
        <w:rPr>
          <w:rFonts w:cs="Arial"/>
        </w:rPr>
        <w:t xml:space="preserve"> of </w:t>
      </w:r>
      <w:proofErr w:type="spellStart"/>
      <w:r w:rsidRPr="00DA6FAB">
        <w:rPr>
          <w:rFonts w:cs="Arial"/>
        </w:rPr>
        <w:t>Cardiology</w:t>
      </w:r>
      <w:proofErr w:type="spellEnd"/>
      <w:r w:rsidRPr="00DA6FAB">
        <w:rPr>
          <w:rFonts w:cs="Arial"/>
        </w:rPr>
        <w:t xml:space="preserve"> </w:t>
      </w:r>
      <w:proofErr w:type="spellStart"/>
      <w:r w:rsidRPr="00DA6FAB">
        <w:rPr>
          <w:rFonts w:cs="Arial"/>
        </w:rPr>
        <w:t>Solution</w:t>
      </w:r>
      <w:proofErr w:type="spellEnd"/>
      <w:r w:rsidRPr="00DA6FAB">
        <w:rPr>
          <w:rFonts w:cs="Arial"/>
        </w:rPr>
        <w:t xml:space="preserve"> Set </w:t>
      </w:r>
      <w:proofErr w:type="spellStart"/>
      <w:r w:rsidRPr="00DA6FAB">
        <w:rPr>
          <w:rFonts w:cs="Arial"/>
        </w:rPr>
        <w:t>Oversight</w:t>
      </w:r>
      <w:proofErr w:type="spellEnd"/>
      <w:r w:rsidRPr="00DA6FAB">
        <w:rPr>
          <w:rFonts w:cs="Arial"/>
        </w:rPr>
        <w:t xml:space="preserve"> </w:t>
      </w:r>
      <w:proofErr w:type="spellStart"/>
      <w:r w:rsidRPr="00DA6FAB">
        <w:rPr>
          <w:rFonts w:cs="Arial"/>
        </w:rPr>
        <w:t>Com</w:t>
      </w:r>
      <w:r w:rsidR="00F074CF">
        <w:rPr>
          <w:rFonts w:cs="Arial"/>
        </w:rPr>
        <w:t>mittee</w:t>
      </w:r>
      <w:proofErr w:type="spellEnd"/>
      <w:r w:rsidR="00F074CF">
        <w:rPr>
          <w:rFonts w:cs="Arial"/>
        </w:rPr>
        <w:t xml:space="preserve">. J Am Coll </w:t>
      </w:r>
      <w:proofErr w:type="spellStart"/>
      <w:r w:rsidR="00F074CF">
        <w:rPr>
          <w:rFonts w:cs="Arial"/>
        </w:rPr>
        <w:t>Cardiol</w:t>
      </w:r>
      <w:proofErr w:type="spellEnd"/>
      <w:r w:rsidR="00F074CF">
        <w:rPr>
          <w:rFonts w:cs="Arial"/>
        </w:rPr>
        <w:t xml:space="preserve"> 2020;</w:t>
      </w:r>
      <w:r w:rsidRPr="00DA6FAB">
        <w:rPr>
          <w:rFonts w:cs="Arial"/>
        </w:rPr>
        <w:t>76:594-622</w:t>
      </w:r>
    </w:p>
    <w:p w14:paraId="316FECF1" w14:textId="77777777" w:rsidR="00DA6FAB" w:rsidRPr="00DA6FAB" w:rsidRDefault="00DA6FAB" w:rsidP="00DA6FAB">
      <w:pPr>
        <w:pStyle w:val="Prrafodelista"/>
        <w:numPr>
          <w:ilvl w:val="0"/>
          <w:numId w:val="17"/>
        </w:numPr>
        <w:spacing w:after="160" w:line="259" w:lineRule="auto"/>
        <w:rPr>
          <w:rFonts w:cs="Arial"/>
        </w:rPr>
      </w:pPr>
      <w:proofErr w:type="spellStart"/>
      <w:r w:rsidRPr="00DA6FAB">
        <w:rPr>
          <w:rFonts w:cs="Arial"/>
        </w:rPr>
        <w:t>Douketis</w:t>
      </w:r>
      <w:proofErr w:type="spellEnd"/>
      <w:r w:rsidRPr="00DA6FAB">
        <w:rPr>
          <w:rFonts w:cs="Arial"/>
        </w:rPr>
        <w:t xml:space="preserve"> et al. </w:t>
      </w:r>
      <w:proofErr w:type="spellStart"/>
      <w:r w:rsidRPr="00DA6FAB">
        <w:rPr>
          <w:rFonts w:cs="Arial"/>
        </w:rPr>
        <w:t>P</w:t>
      </w:r>
      <w:r w:rsidRPr="00DA6FAB">
        <w:t>erioperative</w:t>
      </w:r>
      <w:proofErr w:type="spellEnd"/>
      <w:r w:rsidRPr="00DA6FAB">
        <w:t xml:space="preserve"> Management of </w:t>
      </w:r>
      <w:proofErr w:type="spellStart"/>
      <w:r w:rsidRPr="00DA6FAB">
        <w:t>Antithrombotic</w:t>
      </w:r>
      <w:proofErr w:type="spellEnd"/>
      <w:r w:rsidRPr="00DA6FAB">
        <w:t xml:space="preserve"> </w:t>
      </w:r>
      <w:proofErr w:type="spellStart"/>
      <w:r w:rsidRPr="00DA6FAB">
        <w:t>Therapy</w:t>
      </w:r>
      <w:proofErr w:type="spellEnd"/>
      <w:r w:rsidRPr="00DA6FAB">
        <w:t xml:space="preserve">. </w:t>
      </w:r>
      <w:proofErr w:type="spellStart"/>
      <w:r w:rsidRPr="00DA6FAB">
        <w:t>An</w:t>
      </w:r>
      <w:proofErr w:type="spellEnd"/>
      <w:r w:rsidRPr="00DA6FAB">
        <w:t xml:space="preserve"> American </w:t>
      </w:r>
      <w:proofErr w:type="spellStart"/>
      <w:r w:rsidRPr="00DA6FAB">
        <w:t>College</w:t>
      </w:r>
      <w:proofErr w:type="spellEnd"/>
      <w:r w:rsidRPr="00DA6FAB">
        <w:t xml:space="preserve"> of </w:t>
      </w:r>
      <w:proofErr w:type="spellStart"/>
      <w:r w:rsidRPr="00DA6FAB">
        <w:t>Chest</w:t>
      </w:r>
      <w:proofErr w:type="spellEnd"/>
      <w:r w:rsidRPr="00DA6FAB">
        <w:t xml:space="preserve"> </w:t>
      </w:r>
      <w:proofErr w:type="spellStart"/>
      <w:r w:rsidRPr="00DA6FAB">
        <w:t>Physicians</w:t>
      </w:r>
      <w:proofErr w:type="spellEnd"/>
      <w:r w:rsidRPr="00DA6FAB">
        <w:t xml:space="preserve"> </w:t>
      </w:r>
      <w:proofErr w:type="spellStart"/>
      <w:r w:rsidRPr="00DA6FAB">
        <w:t>Clinical</w:t>
      </w:r>
      <w:proofErr w:type="spellEnd"/>
      <w:r w:rsidRPr="00DA6FAB">
        <w:t xml:space="preserve"> </w:t>
      </w:r>
      <w:proofErr w:type="spellStart"/>
      <w:r w:rsidRPr="00DA6FAB">
        <w:t>Practice</w:t>
      </w:r>
      <w:proofErr w:type="spellEnd"/>
      <w:r w:rsidRPr="00DA6FAB">
        <w:t xml:space="preserve"> </w:t>
      </w:r>
      <w:proofErr w:type="spellStart"/>
      <w:r w:rsidRPr="00DA6FAB">
        <w:t>Guideline</w:t>
      </w:r>
      <w:proofErr w:type="spellEnd"/>
      <w:r w:rsidRPr="00DA6FAB">
        <w:t xml:space="preserve">. </w:t>
      </w:r>
      <w:hyperlink r:id="rId22" w:history="1">
        <w:r w:rsidRPr="00DA6FAB">
          <w:rPr>
            <w:rStyle w:val="Hipervnculo"/>
          </w:rPr>
          <w:t>https://doi.org/10.1016/j.chest.2022.07.025</w:t>
        </w:r>
      </w:hyperlink>
    </w:p>
    <w:p w14:paraId="2DE1A844" w14:textId="683E1D64" w:rsidR="00DA6FAB" w:rsidRPr="00DA6FAB" w:rsidRDefault="00DA6FAB" w:rsidP="00DA6FAB">
      <w:pPr>
        <w:pStyle w:val="Prrafodelista"/>
        <w:numPr>
          <w:ilvl w:val="0"/>
          <w:numId w:val="17"/>
        </w:numPr>
        <w:spacing w:after="160" w:line="259" w:lineRule="auto"/>
        <w:rPr>
          <w:rFonts w:cs="Arial"/>
        </w:rPr>
      </w:pPr>
      <w:proofErr w:type="spellStart"/>
      <w:r w:rsidRPr="00DA6FAB">
        <w:t>Halvorsen</w:t>
      </w:r>
      <w:proofErr w:type="spellEnd"/>
      <w:r w:rsidRPr="00DA6FAB">
        <w:t xml:space="preserve"> S et al. 2022 ESC </w:t>
      </w:r>
      <w:proofErr w:type="spellStart"/>
      <w:r w:rsidRPr="00DA6FAB">
        <w:t>Guidelines</w:t>
      </w:r>
      <w:proofErr w:type="spellEnd"/>
      <w:r w:rsidRPr="00DA6FAB">
        <w:t xml:space="preserve"> on cardiovascular </w:t>
      </w:r>
      <w:proofErr w:type="spellStart"/>
      <w:r w:rsidRPr="00DA6FAB">
        <w:t>assessment</w:t>
      </w:r>
      <w:proofErr w:type="spellEnd"/>
      <w:r w:rsidRPr="00DA6FAB">
        <w:t xml:space="preserve"> </w:t>
      </w:r>
      <w:proofErr w:type="spellStart"/>
      <w:r w:rsidRPr="00DA6FAB">
        <w:t>and</w:t>
      </w:r>
      <w:proofErr w:type="spellEnd"/>
      <w:r w:rsidRPr="00DA6FAB">
        <w:t xml:space="preserve"> management of </w:t>
      </w:r>
      <w:proofErr w:type="spellStart"/>
      <w:r w:rsidRPr="00DA6FAB">
        <w:t>patients</w:t>
      </w:r>
      <w:proofErr w:type="spellEnd"/>
      <w:r w:rsidRPr="00DA6FAB">
        <w:t xml:space="preserve"> </w:t>
      </w:r>
      <w:proofErr w:type="spellStart"/>
      <w:r w:rsidRPr="00DA6FAB">
        <w:t>undergoing</w:t>
      </w:r>
      <w:proofErr w:type="spellEnd"/>
      <w:r w:rsidRPr="00DA6FAB">
        <w:t xml:space="preserve"> non-</w:t>
      </w:r>
      <w:proofErr w:type="spellStart"/>
      <w:r w:rsidRPr="00DA6FAB">
        <w:t>cardiac</w:t>
      </w:r>
      <w:proofErr w:type="spellEnd"/>
      <w:r w:rsidRPr="00DA6FAB">
        <w:t xml:space="preserve"> </w:t>
      </w:r>
      <w:proofErr w:type="spellStart"/>
      <w:r w:rsidRPr="00DA6FAB">
        <w:t>s</w:t>
      </w:r>
      <w:r w:rsidR="00F074CF">
        <w:t>urgery</w:t>
      </w:r>
      <w:proofErr w:type="spellEnd"/>
      <w:r w:rsidR="00F074CF">
        <w:t xml:space="preserve">. </w:t>
      </w:r>
      <w:proofErr w:type="spellStart"/>
      <w:r w:rsidR="00F074CF">
        <w:t>European</w:t>
      </w:r>
      <w:proofErr w:type="spellEnd"/>
      <w:r w:rsidR="00F074CF">
        <w:t xml:space="preserve"> </w:t>
      </w:r>
      <w:proofErr w:type="spellStart"/>
      <w:r w:rsidR="00F074CF">
        <w:t>Heart</w:t>
      </w:r>
      <w:proofErr w:type="spellEnd"/>
      <w:r w:rsidR="00F074CF">
        <w:t xml:space="preserve"> </w:t>
      </w:r>
      <w:proofErr w:type="spellStart"/>
      <w:r w:rsidR="00F074CF">
        <w:t>Journal</w:t>
      </w:r>
      <w:proofErr w:type="spellEnd"/>
      <w:r w:rsidR="00F074CF">
        <w:t xml:space="preserve"> </w:t>
      </w:r>
      <w:r w:rsidRPr="009C54F2">
        <w:t>2022</w:t>
      </w:r>
      <w:r w:rsidR="00F074CF" w:rsidRPr="009C54F2">
        <w:t>;</w:t>
      </w:r>
      <w:r w:rsidRPr="009C54F2">
        <w:t>43</w:t>
      </w:r>
      <w:r w:rsidR="00F074CF" w:rsidRPr="009C54F2">
        <w:t>:</w:t>
      </w:r>
      <w:r w:rsidRPr="009C54F2">
        <w:t>3826–3924.</w:t>
      </w:r>
      <w:r w:rsidRPr="00DA6FAB">
        <w:t xml:space="preserve"> </w:t>
      </w:r>
      <w:hyperlink r:id="rId23" w:history="1">
        <w:r w:rsidRPr="00DA6FAB">
          <w:rPr>
            <w:rStyle w:val="Hipervnculo"/>
          </w:rPr>
          <w:t>https://doi.org/10.1093/eurheartj/ehac270</w:t>
        </w:r>
      </w:hyperlink>
    </w:p>
    <w:p w14:paraId="4500F834" w14:textId="3562E3F7" w:rsidR="00DA6FAB" w:rsidRPr="009C54F2" w:rsidRDefault="00DA6FAB" w:rsidP="00DA6FAB">
      <w:pPr>
        <w:pStyle w:val="Prrafodelista"/>
        <w:numPr>
          <w:ilvl w:val="0"/>
          <w:numId w:val="17"/>
        </w:numPr>
        <w:spacing w:after="160" w:line="259" w:lineRule="auto"/>
        <w:rPr>
          <w:rFonts w:cs="Arial"/>
        </w:rPr>
      </w:pPr>
      <w:proofErr w:type="spellStart"/>
      <w:r w:rsidRPr="009C54F2">
        <w:rPr>
          <w:rFonts w:cs="Arial"/>
        </w:rPr>
        <w:t>Pernod</w:t>
      </w:r>
      <w:proofErr w:type="spellEnd"/>
      <w:r w:rsidRPr="009C54F2">
        <w:rPr>
          <w:rFonts w:cs="Arial"/>
        </w:rPr>
        <w:t xml:space="preserve"> G et al. Management of major </w:t>
      </w:r>
      <w:proofErr w:type="spellStart"/>
      <w:r w:rsidRPr="009C54F2">
        <w:rPr>
          <w:rFonts w:cs="Arial"/>
        </w:rPr>
        <w:t>bleeding</w:t>
      </w:r>
      <w:proofErr w:type="spellEnd"/>
      <w:r w:rsidRPr="009C54F2">
        <w:rPr>
          <w:rFonts w:cs="Arial"/>
        </w:rPr>
        <w:t xml:space="preserve"> </w:t>
      </w:r>
      <w:proofErr w:type="spellStart"/>
      <w:r w:rsidRPr="009C54F2">
        <w:rPr>
          <w:rFonts w:cs="Arial"/>
        </w:rPr>
        <w:t>complications</w:t>
      </w:r>
      <w:proofErr w:type="spellEnd"/>
      <w:r w:rsidRPr="009C54F2">
        <w:rPr>
          <w:rFonts w:cs="Arial"/>
        </w:rPr>
        <w:t xml:space="preserve"> </w:t>
      </w:r>
      <w:proofErr w:type="spellStart"/>
      <w:r w:rsidRPr="009C54F2">
        <w:rPr>
          <w:rFonts w:cs="Arial"/>
        </w:rPr>
        <w:t>and</w:t>
      </w:r>
      <w:proofErr w:type="spellEnd"/>
      <w:r w:rsidRPr="009C54F2">
        <w:rPr>
          <w:rFonts w:cs="Arial"/>
        </w:rPr>
        <w:t xml:space="preserve"> </w:t>
      </w:r>
      <w:proofErr w:type="spellStart"/>
      <w:r w:rsidRPr="009C54F2">
        <w:rPr>
          <w:rFonts w:cs="Arial"/>
        </w:rPr>
        <w:t>emergency</w:t>
      </w:r>
      <w:proofErr w:type="spellEnd"/>
      <w:r w:rsidRPr="009C54F2">
        <w:rPr>
          <w:rFonts w:cs="Arial"/>
        </w:rPr>
        <w:t xml:space="preserve"> </w:t>
      </w:r>
      <w:proofErr w:type="spellStart"/>
      <w:r w:rsidRPr="009C54F2">
        <w:rPr>
          <w:rFonts w:cs="Arial"/>
        </w:rPr>
        <w:t>surgery</w:t>
      </w:r>
      <w:proofErr w:type="spellEnd"/>
      <w:r w:rsidRPr="009C54F2">
        <w:rPr>
          <w:rFonts w:cs="Arial"/>
        </w:rPr>
        <w:t xml:space="preserve"> in </w:t>
      </w:r>
      <w:proofErr w:type="spellStart"/>
      <w:r w:rsidRPr="009C54F2">
        <w:rPr>
          <w:rFonts w:cs="Arial"/>
        </w:rPr>
        <w:t>patients</w:t>
      </w:r>
      <w:proofErr w:type="spellEnd"/>
      <w:r w:rsidRPr="009C54F2">
        <w:rPr>
          <w:rFonts w:cs="Arial"/>
        </w:rPr>
        <w:t xml:space="preserve"> on long-</w:t>
      </w:r>
      <w:proofErr w:type="spellStart"/>
      <w:r w:rsidRPr="009C54F2">
        <w:rPr>
          <w:rFonts w:cs="Arial"/>
        </w:rPr>
        <w:t>term</w:t>
      </w:r>
      <w:proofErr w:type="spellEnd"/>
      <w:r w:rsidRPr="009C54F2">
        <w:rPr>
          <w:rFonts w:cs="Arial"/>
        </w:rPr>
        <w:t xml:space="preserve"> </w:t>
      </w:r>
      <w:proofErr w:type="spellStart"/>
      <w:r w:rsidRPr="009C54F2">
        <w:rPr>
          <w:rFonts w:cs="Arial"/>
        </w:rPr>
        <w:t>treatment</w:t>
      </w:r>
      <w:proofErr w:type="spellEnd"/>
      <w:r w:rsidRPr="009C54F2">
        <w:rPr>
          <w:rFonts w:cs="Arial"/>
        </w:rPr>
        <w:t xml:space="preserve"> </w:t>
      </w:r>
      <w:proofErr w:type="spellStart"/>
      <w:r w:rsidRPr="009C54F2">
        <w:rPr>
          <w:rFonts w:cs="Arial"/>
        </w:rPr>
        <w:t>with</w:t>
      </w:r>
      <w:proofErr w:type="spellEnd"/>
      <w:r w:rsidRPr="009C54F2">
        <w:rPr>
          <w:rFonts w:cs="Arial"/>
        </w:rPr>
        <w:t xml:space="preserve"> </w:t>
      </w:r>
      <w:proofErr w:type="spellStart"/>
      <w:r w:rsidRPr="009C54F2">
        <w:rPr>
          <w:rFonts w:cs="Arial"/>
        </w:rPr>
        <w:t>direct</w:t>
      </w:r>
      <w:proofErr w:type="spellEnd"/>
      <w:r w:rsidRPr="009C54F2">
        <w:rPr>
          <w:rFonts w:cs="Arial"/>
        </w:rPr>
        <w:t xml:space="preserve"> oral anticoagulants, </w:t>
      </w:r>
      <w:proofErr w:type="spellStart"/>
      <w:r w:rsidRPr="009C54F2">
        <w:rPr>
          <w:rFonts w:cs="Arial"/>
        </w:rPr>
        <w:t>thrombin</w:t>
      </w:r>
      <w:proofErr w:type="spellEnd"/>
      <w:r w:rsidRPr="009C54F2">
        <w:rPr>
          <w:rFonts w:cs="Arial"/>
        </w:rPr>
        <w:t xml:space="preserve"> or factor-Xa </w:t>
      </w:r>
      <w:proofErr w:type="spellStart"/>
      <w:r w:rsidRPr="009C54F2">
        <w:rPr>
          <w:rFonts w:cs="Arial"/>
        </w:rPr>
        <w:t>inhibitors</w:t>
      </w:r>
      <w:proofErr w:type="spellEnd"/>
      <w:r w:rsidRPr="009C54F2">
        <w:rPr>
          <w:rFonts w:cs="Arial"/>
        </w:rPr>
        <w:t xml:space="preserve">: </w:t>
      </w:r>
      <w:proofErr w:type="spellStart"/>
      <w:r w:rsidRPr="009C54F2">
        <w:rPr>
          <w:rFonts w:cs="Arial"/>
        </w:rPr>
        <w:t>Proposals</w:t>
      </w:r>
      <w:proofErr w:type="spellEnd"/>
      <w:r w:rsidRPr="009C54F2">
        <w:rPr>
          <w:rFonts w:cs="Arial"/>
        </w:rPr>
        <w:t xml:space="preserve"> of </w:t>
      </w:r>
      <w:proofErr w:type="spellStart"/>
      <w:r w:rsidRPr="009C54F2">
        <w:rPr>
          <w:rFonts w:cs="Arial"/>
        </w:rPr>
        <w:t>the</w:t>
      </w:r>
      <w:proofErr w:type="spellEnd"/>
      <w:r w:rsidRPr="009C54F2">
        <w:rPr>
          <w:rFonts w:cs="Arial"/>
        </w:rPr>
        <w:t xml:space="preserve"> </w:t>
      </w:r>
      <w:proofErr w:type="spellStart"/>
      <w:r w:rsidRPr="009C54F2">
        <w:rPr>
          <w:rFonts w:cs="Arial"/>
        </w:rPr>
        <w:t>Working</w:t>
      </w:r>
      <w:proofErr w:type="spellEnd"/>
      <w:r w:rsidRPr="009C54F2">
        <w:rPr>
          <w:rFonts w:cs="Arial"/>
        </w:rPr>
        <w:t xml:space="preserve"> Group on </w:t>
      </w:r>
      <w:proofErr w:type="spellStart"/>
      <w:r w:rsidRPr="009C54F2">
        <w:rPr>
          <w:rFonts w:cs="Arial"/>
        </w:rPr>
        <w:t>Perioperative</w:t>
      </w:r>
      <w:proofErr w:type="spellEnd"/>
      <w:r w:rsidRPr="009C54F2">
        <w:rPr>
          <w:rFonts w:cs="Arial"/>
        </w:rPr>
        <w:t xml:space="preserve"> </w:t>
      </w:r>
      <w:proofErr w:type="spellStart"/>
      <w:r w:rsidRPr="009C54F2">
        <w:rPr>
          <w:rFonts w:cs="Arial"/>
        </w:rPr>
        <w:t>Haemostasis</w:t>
      </w:r>
      <w:proofErr w:type="spellEnd"/>
      <w:r w:rsidRPr="009C54F2">
        <w:rPr>
          <w:rFonts w:cs="Arial"/>
        </w:rPr>
        <w:t xml:space="preserve"> (GIHP) – March 2013. </w:t>
      </w:r>
      <w:proofErr w:type="spellStart"/>
      <w:r w:rsidRPr="009C54F2">
        <w:rPr>
          <w:rFonts w:cs="Arial"/>
        </w:rPr>
        <w:t>Arch</w:t>
      </w:r>
      <w:r w:rsidR="00F074CF" w:rsidRPr="009C54F2">
        <w:rPr>
          <w:rFonts w:cs="Arial"/>
        </w:rPr>
        <w:t>ives</w:t>
      </w:r>
      <w:proofErr w:type="spellEnd"/>
      <w:r w:rsidR="00F074CF" w:rsidRPr="009C54F2">
        <w:rPr>
          <w:rFonts w:cs="Arial"/>
        </w:rPr>
        <w:t xml:space="preserve"> of Cardiovascular </w:t>
      </w:r>
      <w:proofErr w:type="spellStart"/>
      <w:r w:rsidR="00F074CF" w:rsidRPr="009C54F2">
        <w:rPr>
          <w:rFonts w:cs="Arial"/>
        </w:rPr>
        <w:t>Disease</w:t>
      </w:r>
      <w:proofErr w:type="spellEnd"/>
      <w:r w:rsidR="00F074CF" w:rsidRPr="009C54F2">
        <w:rPr>
          <w:rFonts w:cs="Arial"/>
        </w:rPr>
        <w:t xml:space="preserve"> </w:t>
      </w:r>
      <w:r w:rsidRPr="009C54F2">
        <w:rPr>
          <w:rFonts w:cs="Arial"/>
        </w:rPr>
        <w:t>2013</w:t>
      </w:r>
      <w:r w:rsidR="00F074CF" w:rsidRPr="009C54F2">
        <w:rPr>
          <w:rFonts w:cs="Arial"/>
        </w:rPr>
        <w:t>;</w:t>
      </w:r>
      <w:r w:rsidRPr="009C54F2">
        <w:rPr>
          <w:rFonts w:cs="Arial"/>
        </w:rPr>
        <w:t>106</w:t>
      </w:r>
      <w:r w:rsidR="00F074CF" w:rsidRPr="009C54F2">
        <w:rPr>
          <w:rFonts w:cs="Arial"/>
        </w:rPr>
        <w:t>:</w:t>
      </w:r>
      <w:r w:rsidRPr="009C54F2">
        <w:rPr>
          <w:rFonts w:cs="Arial"/>
        </w:rPr>
        <w:t xml:space="preserve"> 382 -393</w:t>
      </w:r>
    </w:p>
    <w:p w14:paraId="513ECDA0" w14:textId="2CD8F03F" w:rsidR="00DA6FAB" w:rsidRPr="009C54F2" w:rsidRDefault="00DA6FAB" w:rsidP="00DA6FAB">
      <w:pPr>
        <w:pStyle w:val="Prrafodelista"/>
        <w:numPr>
          <w:ilvl w:val="0"/>
          <w:numId w:val="17"/>
        </w:numPr>
        <w:spacing w:after="160" w:line="259" w:lineRule="auto"/>
        <w:rPr>
          <w:rFonts w:cs="Arial"/>
        </w:rPr>
      </w:pPr>
      <w:proofErr w:type="spellStart"/>
      <w:r w:rsidRPr="009C54F2">
        <w:rPr>
          <w:rFonts w:cs="Arial"/>
        </w:rPr>
        <w:t>Levy</w:t>
      </w:r>
      <w:proofErr w:type="spellEnd"/>
      <w:r w:rsidRPr="009C54F2">
        <w:rPr>
          <w:rFonts w:cs="Arial"/>
        </w:rPr>
        <w:t xml:space="preserve"> J.H et al. </w:t>
      </w:r>
      <w:proofErr w:type="spellStart"/>
      <w:r w:rsidRPr="009C54F2">
        <w:rPr>
          <w:rFonts w:cs="Arial"/>
        </w:rPr>
        <w:t>When</w:t>
      </w:r>
      <w:proofErr w:type="spellEnd"/>
      <w:r w:rsidRPr="009C54F2">
        <w:rPr>
          <w:rFonts w:cs="Arial"/>
        </w:rPr>
        <w:t xml:space="preserve"> </w:t>
      </w:r>
      <w:proofErr w:type="spellStart"/>
      <w:r w:rsidRPr="009C54F2">
        <w:rPr>
          <w:rFonts w:cs="Arial"/>
        </w:rPr>
        <w:t>and</w:t>
      </w:r>
      <w:proofErr w:type="spellEnd"/>
      <w:r w:rsidRPr="009C54F2">
        <w:rPr>
          <w:rFonts w:cs="Arial"/>
        </w:rPr>
        <w:t xml:space="preserve"> </w:t>
      </w:r>
      <w:proofErr w:type="spellStart"/>
      <w:r w:rsidRPr="009C54F2">
        <w:rPr>
          <w:rFonts w:cs="Arial"/>
        </w:rPr>
        <w:t>how</w:t>
      </w:r>
      <w:proofErr w:type="spellEnd"/>
      <w:r w:rsidRPr="009C54F2">
        <w:rPr>
          <w:rFonts w:cs="Arial"/>
        </w:rPr>
        <w:t xml:space="preserve"> to </w:t>
      </w:r>
      <w:proofErr w:type="spellStart"/>
      <w:r w:rsidRPr="009C54F2">
        <w:rPr>
          <w:rFonts w:cs="Arial"/>
        </w:rPr>
        <w:t>use</w:t>
      </w:r>
      <w:proofErr w:type="spellEnd"/>
      <w:r w:rsidRPr="009C54F2">
        <w:rPr>
          <w:rFonts w:cs="Arial"/>
        </w:rPr>
        <w:t xml:space="preserve"> </w:t>
      </w:r>
      <w:proofErr w:type="spellStart"/>
      <w:r w:rsidRPr="009C54F2">
        <w:rPr>
          <w:rFonts w:cs="Arial"/>
        </w:rPr>
        <w:t>antidotes</w:t>
      </w:r>
      <w:proofErr w:type="spellEnd"/>
      <w:r w:rsidRPr="009C54F2">
        <w:rPr>
          <w:rFonts w:cs="Arial"/>
        </w:rPr>
        <w:t xml:space="preserve"> for </w:t>
      </w:r>
      <w:proofErr w:type="spellStart"/>
      <w:r w:rsidRPr="009C54F2">
        <w:rPr>
          <w:rFonts w:cs="Arial"/>
        </w:rPr>
        <w:t>the</w:t>
      </w:r>
      <w:proofErr w:type="spellEnd"/>
      <w:r w:rsidRPr="009C54F2">
        <w:rPr>
          <w:rFonts w:cs="Arial"/>
        </w:rPr>
        <w:t xml:space="preserve"> </w:t>
      </w:r>
      <w:proofErr w:type="spellStart"/>
      <w:r w:rsidRPr="009C54F2">
        <w:rPr>
          <w:rFonts w:cs="Arial"/>
        </w:rPr>
        <w:t>reversal</w:t>
      </w:r>
      <w:proofErr w:type="spellEnd"/>
      <w:r w:rsidRPr="009C54F2">
        <w:rPr>
          <w:rFonts w:cs="Arial"/>
        </w:rPr>
        <w:t xml:space="preserve"> of </w:t>
      </w:r>
      <w:proofErr w:type="spellStart"/>
      <w:r w:rsidRPr="009C54F2">
        <w:rPr>
          <w:rFonts w:cs="Arial"/>
        </w:rPr>
        <w:t>direct</w:t>
      </w:r>
      <w:proofErr w:type="spellEnd"/>
      <w:r w:rsidRPr="009C54F2">
        <w:rPr>
          <w:rFonts w:cs="Arial"/>
        </w:rPr>
        <w:t xml:space="preserve"> oral anticoagulants: </w:t>
      </w:r>
      <w:proofErr w:type="spellStart"/>
      <w:r w:rsidRPr="009C54F2">
        <w:rPr>
          <w:rFonts w:cs="Arial"/>
        </w:rPr>
        <w:t>guidance</w:t>
      </w:r>
      <w:proofErr w:type="spellEnd"/>
      <w:r w:rsidRPr="009C54F2">
        <w:rPr>
          <w:rFonts w:cs="Arial"/>
        </w:rPr>
        <w:t xml:space="preserve"> </w:t>
      </w:r>
      <w:proofErr w:type="spellStart"/>
      <w:r w:rsidRPr="009C54F2">
        <w:rPr>
          <w:rFonts w:cs="Arial"/>
        </w:rPr>
        <w:t>from</w:t>
      </w:r>
      <w:proofErr w:type="spellEnd"/>
      <w:r w:rsidRPr="009C54F2">
        <w:rPr>
          <w:rFonts w:cs="Arial"/>
        </w:rPr>
        <w:t xml:space="preserve"> </w:t>
      </w:r>
      <w:proofErr w:type="spellStart"/>
      <w:r w:rsidRPr="009C54F2">
        <w:rPr>
          <w:rFonts w:cs="Arial"/>
        </w:rPr>
        <w:t>the</w:t>
      </w:r>
      <w:proofErr w:type="spellEnd"/>
      <w:r w:rsidRPr="009C54F2">
        <w:rPr>
          <w:rFonts w:cs="Arial"/>
        </w:rPr>
        <w:t xml:space="preserve"> SSC of </w:t>
      </w:r>
      <w:proofErr w:type="spellStart"/>
      <w:r w:rsidRPr="009C54F2">
        <w:rPr>
          <w:rFonts w:cs="Arial"/>
        </w:rPr>
        <w:t>the</w:t>
      </w:r>
      <w:proofErr w:type="spellEnd"/>
      <w:r w:rsidRPr="009C54F2">
        <w:rPr>
          <w:rFonts w:cs="Arial"/>
        </w:rPr>
        <w:t xml:space="preserve"> ISTH. </w:t>
      </w:r>
      <w:proofErr w:type="spellStart"/>
      <w:r w:rsidRPr="009C54F2">
        <w:rPr>
          <w:rFonts w:cs="Arial"/>
        </w:rPr>
        <w:t>Journal</w:t>
      </w:r>
      <w:proofErr w:type="spellEnd"/>
      <w:r w:rsidRPr="009C54F2">
        <w:rPr>
          <w:rFonts w:cs="Arial"/>
        </w:rPr>
        <w:t xml:space="preserve"> o</w:t>
      </w:r>
      <w:r w:rsidR="00F074CF" w:rsidRPr="009C54F2">
        <w:rPr>
          <w:rFonts w:cs="Arial"/>
        </w:rPr>
        <w:t>f</w:t>
      </w:r>
      <w:r w:rsidRPr="009C54F2">
        <w:rPr>
          <w:rFonts w:cs="Arial"/>
        </w:rPr>
        <w:t xml:space="preserve"> </w:t>
      </w:r>
      <w:proofErr w:type="spellStart"/>
      <w:r w:rsidRPr="009C54F2">
        <w:rPr>
          <w:rFonts w:cs="Arial"/>
        </w:rPr>
        <w:t>Thrombosis</w:t>
      </w:r>
      <w:proofErr w:type="spellEnd"/>
      <w:r w:rsidRPr="009C54F2">
        <w:rPr>
          <w:rFonts w:cs="Arial"/>
        </w:rPr>
        <w:t xml:space="preserve"> </w:t>
      </w:r>
      <w:proofErr w:type="spellStart"/>
      <w:r w:rsidRPr="009C54F2">
        <w:rPr>
          <w:rFonts w:cs="Arial"/>
        </w:rPr>
        <w:t>and</w:t>
      </w:r>
      <w:proofErr w:type="spellEnd"/>
      <w:r w:rsidRPr="009C54F2">
        <w:rPr>
          <w:rFonts w:cs="Arial"/>
        </w:rPr>
        <w:t xml:space="preserve"> </w:t>
      </w:r>
      <w:proofErr w:type="spellStart"/>
      <w:r w:rsidRPr="009C54F2">
        <w:rPr>
          <w:rFonts w:cs="Arial"/>
        </w:rPr>
        <w:t>Haemostasis</w:t>
      </w:r>
      <w:proofErr w:type="spellEnd"/>
      <w:r w:rsidRPr="009C54F2">
        <w:rPr>
          <w:rFonts w:cs="Arial"/>
        </w:rPr>
        <w:t>, 14: 623-627.</w:t>
      </w:r>
    </w:p>
    <w:p w14:paraId="41D45620" w14:textId="77777777" w:rsidR="009700FC" w:rsidRPr="000A6053" w:rsidRDefault="009700FC" w:rsidP="009700FC"/>
    <w:p w14:paraId="41D45621" w14:textId="518C9725" w:rsidR="009700FC" w:rsidRDefault="009700FC" w:rsidP="009700FC">
      <w:pPr>
        <w:pStyle w:val="Ttulo1"/>
      </w:pPr>
      <w:bookmarkStart w:id="3" w:name="_Toc135908233"/>
      <w:r>
        <w:t>Documents associats</w:t>
      </w:r>
      <w:bookmarkEnd w:id="3"/>
    </w:p>
    <w:p w14:paraId="41D45624" w14:textId="27E0E1EB" w:rsidR="00364627" w:rsidRDefault="00855B11" w:rsidP="00855B11">
      <w:pPr>
        <w:pStyle w:val="Prrafodelista"/>
        <w:numPr>
          <w:ilvl w:val="1"/>
          <w:numId w:val="19"/>
        </w:numPr>
        <w:rPr>
          <w:b/>
          <w:bCs/>
        </w:rPr>
      </w:pPr>
      <w:proofErr w:type="spellStart"/>
      <w:r w:rsidRPr="00FF3BF8">
        <w:rPr>
          <w:b/>
          <w:bCs/>
        </w:rPr>
        <w:t>Anexo</w:t>
      </w:r>
      <w:proofErr w:type="spellEnd"/>
      <w:r w:rsidRPr="00FF3BF8">
        <w:rPr>
          <w:b/>
          <w:bCs/>
        </w:rPr>
        <w:t xml:space="preserve"> 1. Manejo </w:t>
      </w:r>
      <w:proofErr w:type="spellStart"/>
      <w:r w:rsidRPr="00FF3BF8">
        <w:rPr>
          <w:b/>
          <w:bCs/>
        </w:rPr>
        <w:t>perioperatorio</w:t>
      </w:r>
      <w:proofErr w:type="spellEnd"/>
      <w:r w:rsidRPr="00FF3BF8">
        <w:rPr>
          <w:b/>
          <w:bCs/>
        </w:rPr>
        <w:t xml:space="preserve"> </w:t>
      </w:r>
      <w:r w:rsidR="00177C17">
        <w:rPr>
          <w:b/>
          <w:bCs/>
        </w:rPr>
        <w:t xml:space="preserve">de la </w:t>
      </w:r>
      <w:proofErr w:type="spellStart"/>
      <w:r w:rsidRPr="00FF3BF8">
        <w:rPr>
          <w:b/>
          <w:bCs/>
        </w:rPr>
        <w:t>medicación</w:t>
      </w:r>
      <w:proofErr w:type="spellEnd"/>
      <w:r w:rsidRPr="00FF3BF8">
        <w:rPr>
          <w:b/>
          <w:bCs/>
        </w:rPr>
        <w:t xml:space="preserve"> </w:t>
      </w:r>
      <w:proofErr w:type="spellStart"/>
      <w:r w:rsidRPr="00FF3BF8">
        <w:rPr>
          <w:b/>
          <w:bCs/>
        </w:rPr>
        <w:t>antiagregante</w:t>
      </w:r>
      <w:proofErr w:type="spellEnd"/>
      <w:r w:rsidRPr="00FF3BF8">
        <w:rPr>
          <w:b/>
          <w:bCs/>
        </w:rPr>
        <w:t xml:space="preserve"> en </w:t>
      </w:r>
      <w:proofErr w:type="spellStart"/>
      <w:r w:rsidR="00177C17">
        <w:rPr>
          <w:b/>
          <w:bCs/>
        </w:rPr>
        <w:t>cirugía</w:t>
      </w:r>
      <w:proofErr w:type="spellEnd"/>
      <w:r w:rsidR="00177C17">
        <w:rPr>
          <w:b/>
          <w:bCs/>
        </w:rPr>
        <w:t xml:space="preserve"> </w:t>
      </w:r>
      <w:proofErr w:type="spellStart"/>
      <w:r w:rsidR="00177C17">
        <w:rPr>
          <w:b/>
          <w:bCs/>
        </w:rPr>
        <w:t>precoz</w:t>
      </w:r>
      <w:proofErr w:type="spellEnd"/>
      <w:r w:rsidR="00177C17">
        <w:rPr>
          <w:b/>
          <w:bCs/>
        </w:rPr>
        <w:t xml:space="preserve"> (</w:t>
      </w:r>
      <w:r w:rsidR="00177C17">
        <w:rPr>
          <w:rFonts w:cs="Arial"/>
          <w:b/>
          <w:bCs/>
        </w:rPr>
        <w:t>≤</w:t>
      </w:r>
      <w:r w:rsidR="00177C17">
        <w:rPr>
          <w:b/>
          <w:bCs/>
        </w:rPr>
        <w:t xml:space="preserve">48h) de </w:t>
      </w:r>
      <w:r w:rsidRPr="00FF3BF8">
        <w:rPr>
          <w:b/>
          <w:bCs/>
        </w:rPr>
        <w:t xml:space="preserve">fractura de </w:t>
      </w:r>
      <w:proofErr w:type="spellStart"/>
      <w:r w:rsidR="00FF3BF8" w:rsidRPr="00FF3BF8">
        <w:rPr>
          <w:b/>
          <w:bCs/>
        </w:rPr>
        <w:t>f</w:t>
      </w:r>
      <w:r w:rsidR="00FF3BF8">
        <w:rPr>
          <w:b/>
          <w:bCs/>
        </w:rPr>
        <w:t>é</w:t>
      </w:r>
      <w:r w:rsidR="00FF3BF8" w:rsidRPr="00FF3BF8">
        <w:rPr>
          <w:b/>
          <w:bCs/>
        </w:rPr>
        <w:t>mur</w:t>
      </w:r>
      <w:proofErr w:type="spellEnd"/>
    </w:p>
    <w:p w14:paraId="69C06D82" w14:textId="77777777" w:rsidR="00162487" w:rsidRPr="00FF3BF8" w:rsidRDefault="00162487" w:rsidP="00162487">
      <w:pPr>
        <w:pStyle w:val="Prrafodelista"/>
        <w:ind w:left="1440"/>
        <w:rPr>
          <w:b/>
          <w:bCs/>
        </w:rPr>
      </w:pPr>
    </w:p>
    <w:p w14:paraId="2AE5647B" w14:textId="37BACC98" w:rsidR="00FF3BF8" w:rsidRPr="008E288A" w:rsidRDefault="00FF3BF8" w:rsidP="00F4701C">
      <w:pPr>
        <w:pStyle w:val="Prrafodelista"/>
        <w:ind w:left="1440"/>
      </w:pPr>
      <w:r>
        <w:rPr>
          <w:noProof/>
          <w:lang w:val="es-ES"/>
        </w:rPr>
        <w:drawing>
          <wp:inline distT="0" distB="0" distL="0" distR="0" wp14:anchorId="45FDF0CC" wp14:editId="51B64307">
            <wp:extent cx="5287088" cy="2990850"/>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7873" cy="2996951"/>
                    </a:xfrm>
                    <a:prstGeom prst="rect">
                      <a:avLst/>
                    </a:prstGeom>
                    <a:noFill/>
                    <a:ln>
                      <a:noFill/>
                    </a:ln>
                  </pic:spPr>
                </pic:pic>
              </a:graphicData>
            </a:graphic>
          </wp:inline>
        </w:drawing>
      </w:r>
    </w:p>
    <w:p w14:paraId="41D45625" w14:textId="77777777" w:rsidR="006F70A8" w:rsidRPr="008E288A" w:rsidRDefault="006F70A8" w:rsidP="008E288A"/>
    <w:p w14:paraId="0351F6E5" w14:textId="7A796510" w:rsidR="00F75744" w:rsidRDefault="00F75744" w:rsidP="008E288A"/>
    <w:p w14:paraId="54A20222" w14:textId="20494B8E" w:rsidR="00ED066E" w:rsidRPr="00FF3BF8" w:rsidRDefault="00ED066E" w:rsidP="00ED066E">
      <w:pPr>
        <w:pStyle w:val="Prrafodelista"/>
        <w:numPr>
          <w:ilvl w:val="1"/>
          <w:numId w:val="19"/>
        </w:numPr>
        <w:rPr>
          <w:b/>
          <w:bCs/>
        </w:rPr>
      </w:pPr>
      <w:proofErr w:type="spellStart"/>
      <w:r w:rsidRPr="00FF3BF8">
        <w:rPr>
          <w:b/>
          <w:bCs/>
        </w:rPr>
        <w:t>Anexo</w:t>
      </w:r>
      <w:proofErr w:type="spellEnd"/>
      <w:r w:rsidRPr="00FF3BF8">
        <w:rPr>
          <w:b/>
          <w:bCs/>
        </w:rPr>
        <w:t xml:space="preserve"> </w:t>
      </w:r>
      <w:r>
        <w:rPr>
          <w:b/>
          <w:bCs/>
        </w:rPr>
        <w:t>2</w:t>
      </w:r>
      <w:r w:rsidRPr="00FF3BF8">
        <w:rPr>
          <w:b/>
          <w:bCs/>
        </w:rPr>
        <w:t xml:space="preserve">. </w:t>
      </w:r>
      <w:r w:rsidR="00162487" w:rsidRPr="00FF3BF8">
        <w:rPr>
          <w:b/>
          <w:bCs/>
        </w:rPr>
        <w:t xml:space="preserve">Manejo </w:t>
      </w:r>
      <w:proofErr w:type="spellStart"/>
      <w:r w:rsidR="00162487" w:rsidRPr="00FF3BF8">
        <w:rPr>
          <w:b/>
          <w:bCs/>
        </w:rPr>
        <w:t>perioperatorio</w:t>
      </w:r>
      <w:proofErr w:type="spellEnd"/>
      <w:r w:rsidR="00F4701C">
        <w:rPr>
          <w:b/>
          <w:bCs/>
        </w:rPr>
        <w:t xml:space="preserve"> de</w:t>
      </w:r>
      <w:r w:rsidR="00162487" w:rsidRPr="00FF3BF8">
        <w:rPr>
          <w:b/>
          <w:bCs/>
        </w:rPr>
        <w:t xml:space="preserve"> </w:t>
      </w:r>
      <w:proofErr w:type="spellStart"/>
      <w:r w:rsidR="00162487" w:rsidRPr="00FF3BF8">
        <w:rPr>
          <w:b/>
          <w:bCs/>
        </w:rPr>
        <w:t>medicación</w:t>
      </w:r>
      <w:proofErr w:type="spellEnd"/>
      <w:r w:rsidR="00162487" w:rsidRPr="00FF3BF8">
        <w:rPr>
          <w:b/>
          <w:bCs/>
        </w:rPr>
        <w:t xml:space="preserve"> </w:t>
      </w:r>
      <w:proofErr w:type="spellStart"/>
      <w:r w:rsidR="00162487" w:rsidRPr="00FF3BF8">
        <w:rPr>
          <w:b/>
          <w:bCs/>
        </w:rPr>
        <w:t>anti</w:t>
      </w:r>
      <w:r w:rsidR="00162487">
        <w:rPr>
          <w:b/>
          <w:bCs/>
        </w:rPr>
        <w:t>coagulante</w:t>
      </w:r>
      <w:proofErr w:type="spellEnd"/>
      <w:r w:rsidR="00162487" w:rsidRPr="00FF3BF8">
        <w:rPr>
          <w:b/>
          <w:bCs/>
        </w:rPr>
        <w:t xml:space="preserve"> en </w:t>
      </w:r>
      <w:proofErr w:type="spellStart"/>
      <w:r w:rsidR="00540A2A">
        <w:rPr>
          <w:b/>
          <w:bCs/>
        </w:rPr>
        <w:t>cirugía</w:t>
      </w:r>
      <w:proofErr w:type="spellEnd"/>
      <w:r w:rsidR="00540A2A">
        <w:rPr>
          <w:b/>
          <w:bCs/>
        </w:rPr>
        <w:t xml:space="preserve"> </w:t>
      </w:r>
      <w:proofErr w:type="spellStart"/>
      <w:r w:rsidR="00540A2A">
        <w:rPr>
          <w:b/>
          <w:bCs/>
        </w:rPr>
        <w:t>precoz</w:t>
      </w:r>
      <w:proofErr w:type="spellEnd"/>
      <w:r w:rsidR="00540A2A">
        <w:rPr>
          <w:b/>
          <w:bCs/>
        </w:rPr>
        <w:t xml:space="preserve"> (</w:t>
      </w:r>
      <w:r w:rsidR="00540A2A">
        <w:rPr>
          <w:rFonts w:cs="Arial"/>
          <w:b/>
          <w:bCs/>
        </w:rPr>
        <w:t>≤</w:t>
      </w:r>
      <w:r w:rsidR="00540A2A">
        <w:rPr>
          <w:b/>
          <w:bCs/>
        </w:rPr>
        <w:t xml:space="preserve">48h) de </w:t>
      </w:r>
      <w:r w:rsidR="00162487" w:rsidRPr="00FF3BF8">
        <w:rPr>
          <w:b/>
          <w:bCs/>
        </w:rPr>
        <w:t xml:space="preserve">fractura de </w:t>
      </w:r>
      <w:proofErr w:type="spellStart"/>
      <w:r w:rsidR="00540A2A">
        <w:rPr>
          <w:b/>
          <w:bCs/>
        </w:rPr>
        <w:t>fémur</w:t>
      </w:r>
      <w:proofErr w:type="spellEnd"/>
    </w:p>
    <w:p w14:paraId="41D45628" w14:textId="29BDB17F" w:rsidR="006F70A8" w:rsidRPr="008E288A" w:rsidRDefault="000A7BFC" w:rsidP="000A7BFC">
      <w:pPr>
        <w:jc w:val="center"/>
      </w:pPr>
      <w:r>
        <w:rPr>
          <w:noProof/>
          <w:lang w:val="es-ES"/>
        </w:rPr>
        <w:drawing>
          <wp:inline distT="0" distB="0" distL="0" distR="0" wp14:anchorId="572FC757" wp14:editId="6D9C8C42">
            <wp:extent cx="5848350" cy="34353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8350" cy="3435350"/>
                    </a:xfrm>
                    <a:prstGeom prst="rect">
                      <a:avLst/>
                    </a:prstGeom>
                    <a:noFill/>
                    <a:ln>
                      <a:noFill/>
                    </a:ln>
                  </pic:spPr>
                </pic:pic>
              </a:graphicData>
            </a:graphic>
          </wp:inline>
        </w:drawing>
      </w:r>
    </w:p>
    <w:sectPr w:rsidR="006F70A8" w:rsidRPr="008E288A" w:rsidSect="00500846">
      <w:headerReference w:type="default" r:id="rId26"/>
      <w:footerReference w:type="default" r:id="rId27"/>
      <w:headerReference w:type="first" r:id="rId28"/>
      <w:pgSz w:w="11906" w:h="16838"/>
      <w:pgMar w:top="1843" w:right="1274" w:bottom="851" w:left="1418" w:header="426"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CDDA" w14:textId="77777777" w:rsidR="00542C97" w:rsidRDefault="00542C97" w:rsidP="008E288A">
      <w:r>
        <w:separator/>
      </w:r>
    </w:p>
  </w:endnote>
  <w:endnote w:type="continuationSeparator" w:id="0">
    <w:p w14:paraId="65C2DBF0" w14:textId="77777777" w:rsidR="00542C97" w:rsidRDefault="00542C97" w:rsidP="008E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01572813"/>
      <w:docPartObj>
        <w:docPartGallery w:val="Page Numbers (Bottom of Page)"/>
        <w:docPartUnique/>
      </w:docPartObj>
    </w:sdtPr>
    <w:sdtEndPr>
      <w:rPr>
        <w:rStyle w:val="Nmerodepgina"/>
        <w:sz w:val="18"/>
      </w:rPr>
    </w:sdtEndPr>
    <w:sdtContent>
      <w:p w14:paraId="11DC08C6" w14:textId="72E66486" w:rsidR="00ED6A8D" w:rsidRPr="00ED6A8D" w:rsidRDefault="006F33E1" w:rsidP="00ED6A8D">
        <w:pPr>
          <w:pStyle w:val="Piedepgina"/>
          <w:tabs>
            <w:tab w:val="right" w:pos="9214"/>
          </w:tabs>
          <w:rPr>
            <w:sz w:val="18"/>
            <w:szCs w:val="18"/>
          </w:rPr>
        </w:pPr>
        <w:r>
          <w:rPr>
            <w:sz w:val="18"/>
            <w:szCs w:val="18"/>
          </w:rPr>
          <w:t>DAS</w:t>
        </w:r>
        <w:r w:rsidR="00364627">
          <w:rPr>
            <w:sz w:val="18"/>
            <w:szCs w:val="18"/>
          </w:rPr>
          <w:t>-</w:t>
        </w:r>
        <w:r w:rsidR="00364627" w:rsidRPr="00150862">
          <w:rPr>
            <w:sz w:val="18"/>
            <w:szCs w:val="18"/>
          </w:rPr>
          <w:t>R</w:t>
        </w:r>
        <w:r w:rsidRPr="00150862">
          <w:rPr>
            <w:sz w:val="18"/>
            <w:szCs w:val="18"/>
          </w:rPr>
          <w:t>A</w:t>
        </w:r>
        <w:r w:rsidR="00364627" w:rsidRPr="00150862">
          <w:rPr>
            <w:sz w:val="18"/>
            <w:szCs w:val="18"/>
          </w:rPr>
          <w:t>-</w:t>
        </w:r>
        <w:r w:rsidR="00ED6A8D">
          <w:rPr>
            <w:sz w:val="18"/>
            <w:szCs w:val="18"/>
          </w:rPr>
          <w:t xml:space="preserve">007 </w:t>
        </w:r>
        <w:r w:rsidR="00ED6A8D" w:rsidRPr="00ED6A8D">
          <w:rPr>
            <w:sz w:val="18"/>
            <w:szCs w:val="18"/>
          </w:rPr>
          <w:t xml:space="preserve">Manejo </w:t>
        </w:r>
        <w:proofErr w:type="spellStart"/>
        <w:r w:rsidR="00ED6A8D" w:rsidRPr="00ED6A8D">
          <w:rPr>
            <w:sz w:val="18"/>
            <w:szCs w:val="18"/>
          </w:rPr>
          <w:t>perioperatorio</w:t>
        </w:r>
        <w:proofErr w:type="spellEnd"/>
        <w:r w:rsidR="00ED6A8D" w:rsidRPr="00ED6A8D">
          <w:rPr>
            <w:sz w:val="18"/>
            <w:szCs w:val="18"/>
          </w:rPr>
          <w:t xml:space="preserve"> de </w:t>
        </w:r>
        <w:proofErr w:type="spellStart"/>
        <w:r w:rsidR="00ED6A8D" w:rsidRPr="00ED6A8D">
          <w:rPr>
            <w:sz w:val="18"/>
            <w:szCs w:val="18"/>
          </w:rPr>
          <w:t>medicación</w:t>
        </w:r>
        <w:proofErr w:type="spellEnd"/>
        <w:r w:rsidR="00ED6A8D" w:rsidRPr="00ED6A8D">
          <w:rPr>
            <w:sz w:val="18"/>
            <w:szCs w:val="18"/>
          </w:rPr>
          <w:t xml:space="preserve"> </w:t>
        </w:r>
        <w:proofErr w:type="spellStart"/>
        <w:r w:rsidR="00ED6A8D" w:rsidRPr="00ED6A8D">
          <w:rPr>
            <w:sz w:val="18"/>
            <w:szCs w:val="18"/>
          </w:rPr>
          <w:t>antitrombótica</w:t>
        </w:r>
        <w:proofErr w:type="spellEnd"/>
        <w:r w:rsidR="00ED6A8D" w:rsidRPr="00ED6A8D">
          <w:rPr>
            <w:sz w:val="18"/>
            <w:szCs w:val="18"/>
          </w:rPr>
          <w:t xml:space="preserve"> en el </w:t>
        </w:r>
        <w:proofErr w:type="spellStart"/>
        <w:r w:rsidR="00ED6A8D" w:rsidRPr="00ED6A8D">
          <w:rPr>
            <w:sz w:val="18"/>
            <w:szCs w:val="18"/>
          </w:rPr>
          <w:t>paciente</w:t>
        </w:r>
        <w:proofErr w:type="spellEnd"/>
        <w:r w:rsidR="00ED6A8D" w:rsidRPr="00ED6A8D">
          <w:rPr>
            <w:sz w:val="18"/>
            <w:szCs w:val="18"/>
          </w:rPr>
          <w:t xml:space="preserve"> con fractura de </w:t>
        </w:r>
        <w:proofErr w:type="spellStart"/>
        <w:r w:rsidR="00ED6A8D" w:rsidRPr="00ED6A8D">
          <w:rPr>
            <w:sz w:val="18"/>
            <w:szCs w:val="18"/>
          </w:rPr>
          <w:t>fémur</w:t>
        </w:r>
        <w:proofErr w:type="spellEnd"/>
      </w:p>
      <w:p w14:paraId="41D45634" w14:textId="4149F814" w:rsidR="00364627" w:rsidRPr="00ED6A8D" w:rsidRDefault="00E56CC2" w:rsidP="00777D31">
        <w:pPr>
          <w:pStyle w:val="Piedepgina"/>
          <w:tabs>
            <w:tab w:val="clear" w:pos="8504"/>
            <w:tab w:val="right" w:pos="9214"/>
          </w:tabs>
          <w:rPr>
            <w:sz w:val="18"/>
            <w:szCs w:val="18"/>
          </w:rPr>
        </w:pPr>
        <w:r w:rsidRPr="00ED6A8D">
          <w:rPr>
            <w:sz w:val="18"/>
            <w:szCs w:val="18"/>
          </w:rPr>
          <w:t xml:space="preserve"> </w:t>
        </w:r>
        <w:r w:rsidR="00364627" w:rsidRPr="00ED6A8D">
          <w:rPr>
            <w:sz w:val="18"/>
            <w:szCs w:val="18"/>
          </w:rPr>
          <w:t>(</w:t>
        </w:r>
        <w:r w:rsidR="00ED6A8D" w:rsidRPr="00ED6A8D">
          <w:rPr>
            <w:sz w:val="18"/>
            <w:szCs w:val="18"/>
          </w:rPr>
          <w:t>25/05/2023</w:t>
        </w:r>
        <w:r w:rsidR="00364627" w:rsidRPr="00ED6A8D">
          <w:rPr>
            <w:sz w:val="18"/>
            <w:szCs w:val="18"/>
          </w:rPr>
          <w:t xml:space="preserve">) </w:t>
        </w:r>
        <w:r w:rsidR="00364627" w:rsidRPr="00ED6A8D">
          <w:rPr>
            <w:sz w:val="18"/>
            <w:szCs w:val="18"/>
          </w:rPr>
          <w:tab/>
        </w:r>
        <w:r w:rsidR="00364627" w:rsidRPr="00ED6A8D">
          <w:rPr>
            <w:sz w:val="20"/>
          </w:rPr>
          <w:tab/>
        </w:r>
        <w:r w:rsidR="00364627" w:rsidRPr="00ED6A8D">
          <w:rPr>
            <w:rStyle w:val="Nmerodepgina"/>
            <w:sz w:val="18"/>
          </w:rPr>
          <w:fldChar w:fldCharType="begin"/>
        </w:r>
        <w:r w:rsidR="00364627" w:rsidRPr="00ED6A8D">
          <w:rPr>
            <w:rStyle w:val="Nmerodepgina"/>
            <w:sz w:val="18"/>
          </w:rPr>
          <w:instrText xml:space="preserve"> PAGE </w:instrText>
        </w:r>
        <w:r w:rsidR="00364627" w:rsidRPr="00ED6A8D">
          <w:rPr>
            <w:rStyle w:val="Nmerodepgina"/>
            <w:sz w:val="18"/>
          </w:rPr>
          <w:fldChar w:fldCharType="separate"/>
        </w:r>
        <w:r w:rsidR="00ED6A8D">
          <w:rPr>
            <w:rStyle w:val="Nmerodepgina"/>
            <w:noProof/>
            <w:sz w:val="18"/>
          </w:rPr>
          <w:t>3</w:t>
        </w:r>
        <w:r w:rsidR="00364627" w:rsidRPr="00ED6A8D">
          <w:rPr>
            <w:rStyle w:val="Nmerodepgin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89FA" w14:textId="77777777" w:rsidR="00542C97" w:rsidRDefault="00542C97" w:rsidP="008E288A">
      <w:r>
        <w:separator/>
      </w:r>
    </w:p>
  </w:footnote>
  <w:footnote w:type="continuationSeparator" w:id="0">
    <w:p w14:paraId="3E45F194" w14:textId="77777777" w:rsidR="00542C97" w:rsidRDefault="00542C97" w:rsidP="008E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6388"/>
    </w:tblGrid>
    <w:tr w:rsidR="00364627" w14:paraId="41D45631" w14:textId="77777777" w:rsidTr="0075740F">
      <w:tc>
        <w:tcPr>
          <w:tcW w:w="2256" w:type="dxa"/>
        </w:tcPr>
        <w:p w14:paraId="41D4562F" w14:textId="77777777" w:rsidR="00364627" w:rsidRDefault="00364627" w:rsidP="008E288A">
          <w:pPr>
            <w:pStyle w:val="Encabezado"/>
          </w:pPr>
          <w:r>
            <w:rPr>
              <w:noProof/>
              <w:lang w:val="es-ES"/>
            </w:rPr>
            <w:drawing>
              <wp:inline distT="0" distB="0" distL="0" distR="0" wp14:anchorId="41D45639" wp14:editId="41D4563A">
                <wp:extent cx="1293223" cy="505853"/>
                <wp:effectExtent l="0" t="0" r="2540" b="2540"/>
                <wp:docPr id="1" name="Imagen 1"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alimentos,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11933" cy="513172"/>
                        </a:xfrm>
                        <a:prstGeom prst="rect">
                          <a:avLst/>
                        </a:prstGeom>
                      </pic:spPr>
                    </pic:pic>
                  </a:graphicData>
                </a:graphic>
              </wp:inline>
            </w:drawing>
          </w:r>
        </w:p>
      </w:tc>
      <w:tc>
        <w:tcPr>
          <w:tcW w:w="6388" w:type="dxa"/>
        </w:tcPr>
        <w:p w14:paraId="41D45630" w14:textId="77777777" w:rsidR="00364627" w:rsidRDefault="00364627" w:rsidP="008E288A">
          <w:pPr>
            <w:pStyle w:val="Encabezado"/>
          </w:pPr>
        </w:p>
      </w:tc>
    </w:tr>
  </w:tbl>
  <w:p w14:paraId="41D45632" w14:textId="77777777" w:rsidR="00364627" w:rsidRPr="00AE0B5A" w:rsidRDefault="00364627" w:rsidP="008E288A">
    <w:pPr>
      <w:pStyle w:val="Encabezado"/>
      <w:rPr>
        <w:sz w:val="10"/>
        <w:szCs w:val="10"/>
      </w:rPr>
    </w:pPr>
  </w:p>
  <w:p w14:paraId="41D45633" w14:textId="049ABB4B" w:rsidR="00364627" w:rsidRPr="00AE0B5A" w:rsidRDefault="00364627" w:rsidP="008E288A">
    <w:pPr>
      <w:pStyle w:val="Encabezado"/>
      <w:rPr>
        <w:sz w:val="14"/>
      </w:rPr>
    </w:pPr>
    <w:r w:rsidRPr="00AE0B5A">
      <w:rPr>
        <w:sz w:val="14"/>
      </w:rPr>
      <w:t>DOR-IM-</w:t>
    </w:r>
    <w:r w:rsidR="00E56CC2">
      <w:rPr>
        <w:sz w:val="14"/>
      </w:rPr>
      <w:t>103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6388"/>
    </w:tblGrid>
    <w:tr w:rsidR="00364627" w14:paraId="41D45637" w14:textId="77777777" w:rsidTr="008E288A">
      <w:tc>
        <w:tcPr>
          <w:tcW w:w="2256" w:type="dxa"/>
        </w:tcPr>
        <w:p w14:paraId="41D45635" w14:textId="77777777" w:rsidR="00364627" w:rsidRDefault="00364627" w:rsidP="008E288A">
          <w:pPr>
            <w:pStyle w:val="Encabezado"/>
          </w:pPr>
          <w:r>
            <w:rPr>
              <w:noProof/>
              <w:lang w:val="es-ES"/>
            </w:rPr>
            <w:drawing>
              <wp:inline distT="0" distB="0" distL="0" distR="0" wp14:anchorId="41D4563B" wp14:editId="41D4563C">
                <wp:extent cx="1293223" cy="505853"/>
                <wp:effectExtent l="0" t="0" r="2540" b="2540"/>
                <wp:docPr id="2" name="Imagen 2"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alimentos,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11933" cy="513172"/>
                        </a:xfrm>
                        <a:prstGeom prst="rect">
                          <a:avLst/>
                        </a:prstGeom>
                      </pic:spPr>
                    </pic:pic>
                  </a:graphicData>
                </a:graphic>
              </wp:inline>
            </w:drawing>
          </w:r>
        </w:p>
      </w:tc>
      <w:tc>
        <w:tcPr>
          <w:tcW w:w="6388" w:type="dxa"/>
        </w:tcPr>
        <w:p w14:paraId="41D45636" w14:textId="77777777" w:rsidR="00364627" w:rsidRDefault="00364627" w:rsidP="008E288A">
          <w:pPr>
            <w:pStyle w:val="Encabezado"/>
          </w:pPr>
        </w:p>
      </w:tc>
    </w:tr>
  </w:tbl>
  <w:p w14:paraId="41D45638" w14:textId="77777777" w:rsidR="00364627" w:rsidRPr="008E288A" w:rsidRDefault="00364627" w:rsidP="008E288A">
    <w:pPr>
      <w:pStyle w:val="Encabezado"/>
      <w:rPr>
        <w:sz w:val="14"/>
      </w:rPr>
    </w:pPr>
    <w:r w:rsidRPr="008E288A">
      <w:rPr>
        <w:sz w:val="14"/>
      </w:rPr>
      <w:t>DOR-IM-094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404E"/>
    <w:multiLevelType w:val="hybridMultilevel"/>
    <w:tmpl w:val="6DAAAD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C702C66"/>
    <w:multiLevelType w:val="multilevel"/>
    <w:tmpl w:val="33BE45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51968A5"/>
    <w:multiLevelType w:val="multilevel"/>
    <w:tmpl w:val="1EBC97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9DE564B"/>
    <w:multiLevelType w:val="hybridMultilevel"/>
    <w:tmpl w:val="7DB86430"/>
    <w:lvl w:ilvl="0" w:tplc="7742967C">
      <w:start w:val="1"/>
      <w:numFmt w:val="bullet"/>
      <w:lvlText w:val=""/>
      <w:lvlJc w:val="left"/>
      <w:pPr>
        <w:ind w:left="720" w:hanging="360"/>
      </w:pPr>
      <w:rPr>
        <w:rFonts w:ascii="Wingdings" w:hAnsi="Wingdings"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152E13"/>
    <w:multiLevelType w:val="hybridMultilevel"/>
    <w:tmpl w:val="A59A8FB2"/>
    <w:lvl w:ilvl="0" w:tplc="5CE2AF52">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 w15:restartNumberingAfterBreak="0">
    <w:nsid w:val="34515697"/>
    <w:multiLevelType w:val="multilevel"/>
    <w:tmpl w:val="873210C6"/>
    <w:lvl w:ilvl="0">
      <w:start w:val="1"/>
      <w:numFmt w:val="decimal"/>
      <w:pStyle w:val="Ttulo1"/>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9843AC6"/>
    <w:multiLevelType w:val="multilevel"/>
    <w:tmpl w:val="1EBC97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C51277F"/>
    <w:multiLevelType w:val="multilevel"/>
    <w:tmpl w:val="2DC06BC6"/>
    <w:lvl w:ilvl="0">
      <w:start w:val="1"/>
      <w:numFmt w:val="decimal"/>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38723E0"/>
    <w:multiLevelType w:val="hybridMultilevel"/>
    <w:tmpl w:val="F3C6A1A6"/>
    <w:lvl w:ilvl="0" w:tplc="E1C49C3A">
      <w:start w:val="1"/>
      <w:numFmt w:val="upp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9" w15:restartNumberingAfterBreak="0">
    <w:nsid w:val="56C33FD4"/>
    <w:multiLevelType w:val="multilevel"/>
    <w:tmpl w:val="1EBC97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CE16598"/>
    <w:multiLevelType w:val="hybridMultilevel"/>
    <w:tmpl w:val="A8DED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FC3AD2"/>
    <w:multiLevelType w:val="multilevel"/>
    <w:tmpl w:val="1EBC97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F8D6137"/>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091927"/>
    <w:multiLevelType w:val="multilevel"/>
    <w:tmpl w:val="1EBC97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31962E6"/>
    <w:multiLevelType w:val="multilevel"/>
    <w:tmpl w:val="1EBC97C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8831BB4"/>
    <w:multiLevelType w:val="hybridMultilevel"/>
    <w:tmpl w:val="3880FDC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7FCD2253"/>
    <w:multiLevelType w:val="hybridMultilevel"/>
    <w:tmpl w:val="B8F639A0"/>
    <w:lvl w:ilvl="0" w:tplc="3864A12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12"/>
  </w:num>
  <w:num w:numId="5">
    <w:abstractNumId w:val="10"/>
  </w:num>
  <w:num w:numId="6">
    <w:abstractNumId w:val="15"/>
  </w:num>
  <w:num w:numId="7">
    <w:abstractNumId w:val="5"/>
  </w:num>
  <w:num w:numId="8">
    <w:abstractNumId w:val="3"/>
  </w:num>
  <w:num w:numId="9">
    <w:abstractNumId w:val="5"/>
  </w:num>
  <w:num w:numId="10">
    <w:abstractNumId w:val="13"/>
  </w:num>
  <w:num w:numId="11">
    <w:abstractNumId w:val="9"/>
  </w:num>
  <w:num w:numId="12">
    <w:abstractNumId w:val="2"/>
  </w:num>
  <w:num w:numId="13">
    <w:abstractNumId w:val="8"/>
  </w:num>
  <w:num w:numId="14">
    <w:abstractNumId w:val="6"/>
  </w:num>
  <w:num w:numId="15">
    <w:abstractNumId w:val="14"/>
  </w:num>
  <w:num w:numId="16">
    <w:abstractNumId w:val="11"/>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B3"/>
    <w:rsid w:val="00073948"/>
    <w:rsid w:val="0009178F"/>
    <w:rsid w:val="00097E18"/>
    <w:rsid w:val="000A69F8"/>
    <w:rsid w:val="000A7BFC"/>
    <w:rsid w:val="000C0CE3"/>
    <w:rsid w:val="000C2E89"/>
    <w:rsid w:val="000D75D2"/>
    <w:rsid w:val="000E26C4"/>
    <w:rsid w:val="000F6E37"/>
    <w:rsid w:val="000F7C5F"/>
    <w:rsid w:val="001052B1"/>
    <w:rsid w:val="00150862"/>
    <w:rsid w:val="00162487"/>
    <w:rsid w:val="00177C17"/>
    <w:rsid w:val="001A741B"/>
    <w:rsid w:val="001B0A25"/>
    <w:rsid w:val="001B1485"/>
    <w:rsid w:val="001D5D89"/>
    <w:rsid w:val="002127BE"/>
    <w:rsid w:val="00217735"/>
    <w:rsid w:val="00224D73"/>
    <w:rsid w:val="00246B43"/>
    <w:rsid w:val="00286C5C"/>
    <w:rsid w:val="002C401C"/>
    <w:rsid w:val="002E05F9"/>
    <w:rsid w:val="002E5D9C"/>
    <w:rsid w:val="00304D62"/>
    <w:rsid w:val="00313EA5"/>
    <w:rsid w:val="00331A1B"/>
    <w:rsid w:val="0035079A"/>
    <w:rsid w:val="00356450"/>
    <w:rsid w:val="0036439A"/>
    <w:rsid w:val="00364627"/>
    <w:rsid w:val="003C33DE"/>
    <w:rsid w:val="0042408A"/>
    <w:rsid w:val="0042409F"/>
    <w:rsid w:val="00437D35"/>
    <w:rsid w:val="004673FF"/>
    <w:rsid w:val="004B5955"/>
    <w:rsid w:val="004E04BC"/>
    <w:rsid w:val="00500846"/>
    <w:rsid w:val="005063A5"/>
    <w:rsid w:val="00511136"/>
    <w:rsid w:val="00525FAC"/>
    <w:rsid w:val="00540A2A"/>
    <w:rsid w:val="00542C97"/>
    <w:rsid w:val="00567608"/>
    <w:rsid w:val="005A46D7"/>
    <w:rsid w:val="005A7D35"/>
    <w:rsid w:val="005F4171"/>
    <w:rsid w:val="00604B98"/>
    <w:rsid w:val="006158E9"/>
    <w:rsid w:val="00625360"/>
    <w:rsid w:val="0064110C"/>
    <w:rsid w:val="00641832"/>
    <w:rsid w:val="00664D3D"/>
    <w:rsid w:val="006A039D"/>
    <w:rsid w:val="006A1225"/>
    <w:rsid w:val="006E47F8"/>
    <w:rsid w:val="006F0D93"/>
    <w:rsid w:val="006F33E1"/>
    <w:rsid w:val="006F70A8"/>
    <w:rsid w:val="00720B67"/>
    <w:rsid w:val="0075740F"/>
    <w:rsid w:val="00777D31"/>
    <w:rsid w:val="007D5F25"/>
    <w:rsid w:val="00824783"/>
    <w:rsid w:val="00855B11"/>
    <w:rsid w:val="008833A8"/>
    <w:rsid w:val="008A6A5E"/>
    <w:rsid w:val="008B63D6"/>
    <w:rsid w:val="008D18A7"/>
    <w:rsid w:val="008E288A"/>
    <w:rsid w:val="008E77C7"/>
    <w:rsid w:val="008F6FC4"/>
    <w:rsid w:val="00904FF1"/>
    <w:rsid w:val="00921B07"/>
    <w:rsid w:val="00927691"/>
    <w:rsid w:val="009276F9"/>
    <w:rsid w:val="0096280C"/>
    <w:rsid w:val="009700FC"/>
    <w:rsid w:val="0098005D"/>
    <w:rsid w:val="009C54F2"/>
    <w:rsid w:val="009C5538"/>
    <w:rsid w:val="009C5A31"/>
    <w:rsid w:val="009E222A"/>
    <w:rsid w:val="009F1FC0"/>
    <w:rsid w:val="00A01E46"/>
    <w:rsid w:val="00A11A13"/>
    <w:rsid w:val="00A12745"/>
    <w:rsid w:val="00A204E8"/>
    <w:rsid w:val="00A42ACC"/>
    <w:rsid w:val="00A468D3"/>
    <w:rsid w:val="00A72EB6"/>
    <w:rsid w:val="00A944BF"/>
    <w:rsid w:val="00A9469B"/>
    <w:rsid w:val="00A958B0"/>
    <w:rsid w:val="00AE0B5A"/>
    <w:rsid w:val="00B57002"/>
    <w:rsid w:val="00B97976"/>
    <w:rsid w:val="00BE5AFB"/>
    <w:rsid w:val="00BE7A8C"/>
    <w:rsid w:val="00C12802"/>
    <w:rsid w:val="00C61C66"/>
    <w:rsid w:val="00C83A2F"/>
    <w:rsid w:val="00CD7EE4"/>
    <w:rsid w:val="00CE32F8"/>
    <w:rsid w:val="00CF2BF7"/>
    <w:rsid w:val="00D06E7B"/>
    <w:rsid w:val="00D07FB3"/>
    <w:rsid w:val="00D11349"/>
    <w:rsid w:val="00D3694F"/>
    <w:rsid w:val="00D53B2C"/>
    <w:rsid w:val="00D812CC"/>
    <w:rsid w:val="00DA6FAB"/>
    <w:rsid w:val="00E03D16"/>
    <w:rsid w:val="00E56CC2"/>
    <w:rsid w:val="00E86E78"/>
    <w:rsid w:val="00E87D83"/>
    <w:rsid w:val="00E93434"/>
    <w:rsid w:val="00E94347"/>
    <w:rsid w:val="00EA3EE6"/>
    <w:rsid w:val="00EB7FB0"/>
    <w:rsid w:val="00ED066E"/>
    <w:rsid w:val="00ED6A0B"/>
    <w:rsid w:val="00ED6A8D"/>
    <w:rsid w:val="00EE16E6"/>
    <w:rsid w:val="00EF00A0"/>
    <w:rsid w:val="00F074CF"/>
    <w:rsid w:val="00F30AFD"/>
    <w:rsid w:val="00F425A7"/>
    <w:rsid w:val="00F4701C"/>
    <w:rsid w:val="00F72729"/>
    <w:rsid w:val="00F75744"/>
    <w:rsid w:val="00F830BE"/>
    <w:rsid w:val="00F93558"/>
    <w:rsid w:val="00FB4F67"/>
    <w:rsid w:val="00FD0781"/>
    <w:rsid w:val="00FE1B27"/>
    <w:rsid w:val="00FF3BF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55D1"/>
  <w15:docId w15:val="{BECC6AFB-FEE5-4399-B85B-A1C037AD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88A"/>
    <w:pPr>
      <w:spacing w:after="120" w:line="240" w:lineRule="auto"/>
      <w:jc w:val="both"/>
    </w:pPr>
    <w:rPr>
      <w:rFonts w:ascii="Arial" w:hAnsi="Arial"/>
      <w:lang w:eastAsia="es-ES"/>
    </w:rPr>
  </w:style>
  <w:style w:type="paragraph" w:styleId="Ttulo1">
    <w:name w:val="heading 1"/>
    <w:basedOn w:val="Normal"/>
    <w:next w:val="Normal"/>
    <w:link w:val="Ttulo1Car"/>
    <w:uiPriority w:val="9"/>
    <w:qFormat/>
    <w:rsid w:val="009700FC"/>
    <w:pPr>
      <w:keepNext/>
      <w:keepLines/>
      <w:numPr>
        <w:numId w:val="2"/>
      </w:numPr>
      <w:spacing w:before="240" w:after="240"/>
      <w:jc w:val="left"/>
      <w:outlineLvl w:val="0"/>
    </w:pPr>
    <w:rPr>
      <w:rFonts w:eastAsia="Times New Roman" w:cs="Arial"/>
      <w:b/>
      <w:bCs/>
      <w:color w:val="2670CA"/>
      <w:sz w:val="28"/>
      <w:szCs w:val="28"/>
    </w:rPr>
  </w:style>
  <w:style w:type="paragraph" w:styleId="Ttulo2">
    <w:name w:val="heading 2"/>
    <w:basedOn w:val="Normal"/>
    <w:next w:val="Normal"/>
    <w:link w:val="Ttulo2Car"/>
    <w:autoRedefine/>
    <w:uiPriority w:val="9"/>
    <w:unhideWhenUsed/>
    <w:qFormat/>
    <w:rsid w:val="008E288A"/>
    <w:pPr>
      <w:keepNext/>
      <w:keepLines/>
      <w:numPr>
        <w:ilvl w:val="1"/>
        <w:numId w:val="3"/>
      </w:numPr>
      <w:ind w:left="578" w:hanging="578"/>
      <w:outlineLvl w:val="1"/>
    </w:pPr>
    <w:rPr>
      <w:rFonts w:eastAsiaTheme="majorEastAsia" w:cstheme="majorBidi"/>
      <w:b/>
      <w:bCs/>
      <w:szCs w:val="26"/>
    </w:rPr>
  </w:style>
  <w:style w:type="paragraph" w:styleId="Ttulo3">
    <w:name w:val="heading 3"/>
    <w:basedOn w:val="Normal"/>
    <w:next w:val="Normal"/>
    <w:link w:val="Ttulo3Car"/>
    <w:uiPriority w:val="9"/>
    <w:semiHidden/>
    <w:unhideWhenUsed/>
    <w:qFormat/>
    <w:rsid w:val="00D11349"/>
    <w:pPr>
      <w:keepNext/>
      <w:keepLines/>
      <w:spacing w:before="40" w:after="0"/>
      <w:ind w:left="720" w:hanging="72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D11349"/>
    <w:pPr>
      <w:keepNext/>
      <w:keepLines/>
      <w:spacing w:before="40" w:after="0"/>
      <w:ind w:left="864" w:hanging="864"/>
      <w:outlineLvl w:val="3"/>
    </w:pPr>
    <w:rPr>
      <w:rFonts w:asciiTheme="majorHAnsi" w:eastAsiaTheme="majorEastAsia" w:hAnsiTheme="majorHAnsi" w:cstheme="majorBidi"/>
      <w:i/>
      <w:iCs/>
      <w:color w:val="365F91" w:themeColor="accent1" w:themeShade="BF"/>
      <w:szCs w:val="24"/>
    </w:rPr>
  </w:style>
  <w:style w:type="paragraph" w:styleId="Ttulo5">
    <w:name w:val="heading 5"/>
    <w:basedOn w:val="Normal"/>
    <w:next w:val="Normal"/>
    <w:link w:val="Ttulo5Car"/>
    <w:uiPriority w:val="9"/>
    <w:semiHidden/>
    <w:unhideWhenUsed/>
    <w:qFormat/>
    <w:rsid w:val="00D11349"/>
    <w:pPr>
      <w:keepNext/>
      <w:keepLines/>
      <w:spacing w:before="40" w:after="0"/>
      <w:ind w:left="1008" w:hanging="1008"/>
      <w:outlineLvl w:val="4"/>
    </w:pPr>
    <w:rPr>
      <w:rFonts w:asciiTheme="majorHAnsi" w:eastAsiaTheme="majorEastAsia" w:hAnsiTheme="majorHAnsi" w:cstheme="majorBidi"/>
      <w:color w:val="365F91" w:themeColor="accent1" w:themeShade="BF"/>
      <w:szCs w:val="24"/>
    </w:rPr>
  </w:style>
  <w:style w:type="paragraph" w:styleId="Ttulo6">
    <w:name w:val="heading 6"/>
    <w:basedOn w:val="Normal"/>
    <w:next w:val="Normal"/>
    <w:link w:val="Ttulo6Car"/>
    <w:uiPriority w:val="9"/>
    <w:semiHidden/>
    <w:unhideWhenUsed/>
    <w:qFormat/>
    <w:rsid w:val="00D11349"/>
    <w:pPr>
      <w:keepNext/>
      <w:keepLines/>
      <w:spacing w:before="40" w:after="0"/>
      <w:ind w:left="1152" w:hanging="1152"/>
      <w:outlineLvl w:val="5"/>
    </w:pPr>
    <w:rPr>
      <w:rFonts w:asciiTheme="majorHAnsi" w:eastAsiaTheme="majorEastAsia" w:hAnsiTheme="majorHAnsi" w:cstheme="majorBidi"/>
      <w:color w:val="243F60" w:themeColor="accent1" w:themeShade="7F"/>
      <w:szCs w:val="24"/>
    </w:rPr>
  </w:style>
  <w:style w:type="paragraph" w:styleId="Ttulo7">
    <w:name w:val="heading 7"/>
    <w:basedOn w:val="Normal"/>
    <w:next w:val="Normal"/>
    <w:link w:val="Ttulo7Car"/>
    <w:uiPriority w:val="9"/>
    <w:semiHidden/>
    <w:unhideWhenUsed/>
    <w:qFormat/>
    <w:rsid w:val="00D11349"/>
    <w:pPr>
      <w:keepNext/>
      <w:keepLines/>
      <w:spacing w:before="40" w:after="0"/>
      <w:ind w:left="1296" w:hanging="1296"/>
      <w:outlineLvl w:val="6"/>
    </w:pPr>
    <w:rPr>
      <w:rFonts w:asciiTheme="majorHAnsi" w:eastAsiaTheme="majorEastAsia" w:hAnsiTheme="majorHAnsi" w:cstheme="majorBidi"/>
      <w:i/>
      <w:iCs/>
      <w:color w:val="243F60" w:themeColor="accent1" w:themeShade="7F"/>
      <w:szCs w:val="24"/>
    </w:rPr>
  </w:style>
  <w:style w:type="paragraph" w:styleId="Ttulo8">
    <w:name w:val="heading 8"/>
    <w:basedOn w:val="Normal"/>
    <w:next w:val="Normal"/>
    <w:link w:val="Ttulo8Car"/>
    <w:uiPriority w:val="9"/>
    <w:semiHidden/>
    <w:unhideWhenUsed/>
    <w:qFormat/>
    <w:rsid w:val="00D11349"/>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11349"/>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E288A"/>
    <w:rPr>
      <w:rFonts w:ascii="Arial" w:eastAsiaTheme="majorEastAsia" w:hAnsi="Arial" w:cstheme="majorBidi"/>
      <w:b/>
      <w:bCs/>
      <w:szCs w:val="26"/>
      <w:lang w:eastAsia="es-ES"/>
    </w:rPr>
  </w:style>
  <w:style w:type="character" w:customStyle="1" w:styleId="Ttulo1Car">
    <w:name w:val="Título 1 Car"/>
    <w:basedOn w:val="Fuentedeprrafopredeter"/>
    <w:link w:val="Ttulo1"/>
    <w:uiPriority w:val="9"/>
    <w:rsid w:val="009700FC"/>
    <w:rPr>
      <w:rFonts w:ascii="Arial" w:eastAsia="Times New Roman" w:hAnsi="Arial" w:cs="Arial"/>
      <w:b/>
      <w:bCs/>
      <w:color w:val="2670CA"/>
      <w:sz w:val="28"/>
      <w:szCs w:val="28"/>
      <w:lang w:eastAsia="es-ES"/>
    </w:rPr>
  </w:style>
  <w:style w:type="paragraph" w:styleId="Ttulo">
    <w:name w:val="Title"/>
    <w:basedOn w:val="Normal"/>
    <w:next w:val="Normal"/>
    <w:link w:val="TtuloCar"/>
    <w:qFormat/>
    <w:rsid w:val="00ED6A0B"/>
    <w:pPr>
      <w:spacing w:after="0"/>
      <w:contextualSpacing/>
    </w:pPr>
    <w:rPr>
      <w:rFonts w:eastAsiaTheme="majorEastAsia" w:cstheme="majorBidi"/>
      <w:b/>
      <w:color w:val="2670CA"/>
      <w:spacing w:val="-10"/>
      <w:kern w:val="28"/>
      <w:sz w:val="48"/>
      <w:szCs w:val="56"/>
    </w:rPr>
  </w:style>
  <w:style w:type="character" w:customStyle="1" w:styleId="TtuloCar">
    <w:name w:val="Título Car"/>
    <w:basedOn w:val="Fuentedeprrafopredeter"/>
    <w:link w:val="Ttulo"/>
    <w:rsid w:val="00ED6A0B"/>
    <w:rPr>
      <w:rFonts w:ascii="Arial" w:eastAsiaTheme="majorEastAsia" w:hAnsi="Arial" w:cstheme="majorBidi"/>
      <w:b/>
      <w:color w:val="2670CA"/>
      <w:spacing w:val="-10"/>
      <w:kern w:val="28"/>
      <w:sz w:val="48"/>
      <w:szCs w:val="56"/>
      <w:lang w:eastAsia="es-ES"/>
    </w:rPr>
  </w:style>
  <w:style w:type="paragraph" w:styleId="Encabezado">
    <w:name w:val="header"/>
    <w:basedOn w:val="Normal"/>
    <w:link w:val="EncabezadoCar"/>
    <w:uiPriority w:val="99"/>
    <w:unhideWhenUsed/>
    <w:rsid w:val="0075740F"/>
    <w:pPr>
      <w:tabs>
        <w:tab w:val="center" w:pos="4252"/>
        <w:tab w:val="right" w:pos="8504"/>
      </w:tabs>
      <w:spacing w:after="0"/>
    </w:pPr>
  </w:style>
  <w:style w:type="character" w:customStyle="1" w:styleId="EncabezadoCar">
    <w:name w:val="Encabezado Car"/>
    <w:basedOn w:val="Fuentedeprrafopredeter"/>
    <w:link w:val="Encabezado"/>
    <w:uiPriority w:val="99"/>
    <w:rsid w:val="0075740F"/>
    <w:rPr>
      <w:lang w:val="es-ES"/>
    </w:rPr>
  </w:style>
  <w:style w:type="paragraph" w:styleId="Piedepgina">
    <w:name w:val="footer"/>
    <w:basedOn w:val="Normal"/>
    <w:link w:val="PiedepginaCar"/>
    <w:uiPriority w:val="99"/>
    <w:unhideWhenUsed/>
    <w:rsid w:val="0075740F"/>
    <w:pPr>
      <w:tabs>
        <w:tab w:val="center" w:pos="4252"/>
        <w:tab w:val="right" w:pos="8504"/>
      </w:tabs>
      <w:spacing w:after="0"/>
    </w:pPr>
  </w:style>
  <w:style w:type="character" w:customStyle="1" w:styleId="PiedepginaCar">
    <w:name w:val="Pie de página Car"/>
    <w:basedOn w:val="Fuentedeprrafopredeter"/>
    <w:link w:val="Piedepgina"/>
    <w:uiPriority w:val="99"/>
    <w:rsid w:val="0075740F"/>
    <w:rPr>
      <w:lang w:val="es-ES"/>
    </w:rPr>
  </w:style>
  <w:style w:type="table" w:styleId="Tablaconcuadrcula">
    <w:name w:val="Table Grid"/>
    <w:basedOn w:val="Tablanormal"/>
    <w:uiPriority w:val="39"/>
    <w:rsid w:val="00757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740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40F"/>
    <w:rPr>
      <w:rFonts w:ascii="Tahoma" w:hAnsi="Tahoma" w:cs="Tahoma"/>
      <w:sz w:val="16"/>
      <w:szCs w:val="16"/>
      <w:lang w:val="es-ES"/>
    </w:rPr>
  </w:style>
  <w:style w:type="character" w:styleId="Nmerodepgina">
    <w:name w:val="page number"/>
    <w:basedOn w:val="Fuentedeprrafopredeter"/>
    <w:uiPriority w:val="99"/>
    <w:semiHidden/>
    <w:unhideWhenUsed/>
    <w:rsid w:val="00D11349"/>
  </w:style>
  <w:style w:type="character" w:customStyle="1" w:styleId="Ttulo3Car">
    <w:name w:val="Título 3 Car"/>
    <w:basedOn w:val="Fuentedeprrafopredeter"/>
    <w:link w:val="Ttulo3"/>
    <w:uiPriority w:val="9"/>
    <w:semiHidden/>
    <w:rsid w:val="00D11349"/>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semiHidden/>
    <w:rsid w:val="00D11349"/>
    <w:rPr>
      <w:rFonts w:asciiTheme="majorHAnsi" w:eastAsiaTheme="majorEastAsia" w:hAnsiTheme="majorHAnsi" w:cstheme="majorBidi"/>
      <w:i/>
      <w:iCs/>
      <w:color w:val="365F91" w:themeColor="accent1" w:themeShade="BF"/>
      <w:sz w:val="24"/>
      <w:szCs w:val="24"/>
      <w:lang w:val="es-ES"/>
    </w:rPr>
  </w:style>
  <w:style w:type="character" w:customStyle="1" w:styleId="Ttulo5Car">
    <w:name w:val="Título 5 Car"/>
    <w:basedOn w:val="Fuentedeprrafopredeter"/>
    <w:link w:val="Ttulo5"/>
    <w:uiPriority w:val="9"/>
    <w:semiHidden/>
    <w:rsid w:val="00D11349"/>
    <w:rPr>
      <w:rFonts w:asciiTheme="majorHAnsi" w:eastAsiaTheme="majorEastAsia" w:hAnsiTheme="majorHAnsi" w:cstheme="majorBidi"/>
      <w:color w:val="365F91" w:themeColor="accent1" w:themeShade="BF"/>
      <w:sz w:val="24"/>
      <w:szCs w:val="24"/>
      <w:lang w:val="es-ES"/>
    </w:rPr>
  </w:style>
  <w:style w:type="character" w:customStyle="1" w:styleId="Ttulo6Car">
    <w:name w:val="Título 6 Car"/>
    <w:basedOn w:val="Fuentedeprrafopredeter"/>
    <w:link w:val="Ttulo6"/>
    <w:uiPriority w:val="9"/>
    <w:semiHidden/>
    <w:rsid w:val="00D11349"/>
    <w:rPr>
      <w:rFonts w:asciiTheme="majorHAnsi" w:eastAsiaTheme="majorEastAsia" w:hAnsiTheme="majorHAnsi" w:cstheme="majorBidi"/>
      <w:color w:val="243F60" w:themeColor="accent1" w:themeShade="7F"/>
      <w:sz w:val="24"/>
      <w:szCs w:val="24"/>
      <w:lang w:val="es-ES"/>
    </w:rPr>
  </w:style>
  <w:style w:type="character" w:customStyle="1" w:styleId="Ttulo7Car">
    <w:name w:val="Título 7 Car"/>
    <w:basedOn w:val="Fuentedeprrafopredeter"/>
    <w:link w:val="Ttulo7"/>
    <w:uiPriority w:val="9"/>
    <w:semiHidden/>
    <w:rsid w:val="00D11349"/>
    <w:rPr>
      <w:rFonts w:asciiTheme="majorHAnsi" w:eastAsiaTheme="majorEastAsia" w:hAnsiTheme="majorHAnsi" w:cstheme="majorBidi"/>
      <w:i/>
      <w:iCs/>
      <w:color w:val="243F60" w:themeColor="accent1" w:themeShade="7F"/>
      <w:sz w:val="24"/>
      <w:szCs w:val="24"/>
      <w:lang w:val="es-ES"/>
    </w:rPr>
  </w:style>
  <w:style w:type="character" w:customStyle="1" w:styleId="Ttulo8Car">
    <w:name w:val="Título 8 Car"/>
    <w:basedOn w:val="Fuentedeprrafopredeter"/>
    <w:link w:val="Ttulo8"/>
    <w:uiPriority w:val="9"/>
    <w:semiHidden/>
    <w:rsid w:val="00D11349"/>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semiHidden/>
    <w:rsid w:val="00D11349"/>
    <w:rPr>
      <w:rFonts w:asciiTheme="majorHAnsi" w:eastAsiaTheme="majorEastAsia" w:hAnsiTheme="majorHAnsi" w:cstheme="majorBidi"/>
      <w:i/>
      <w:iCs/>
      <w:color w:val="272727" w:themeColor="text1" w:themeTint="D8"/>
      <w:sz w:val="21"/>
      <w:szCs w:val="21"/>
      <w:lang w:val="es-ES"/>
    </w:rPr>
  </w:style>
  <w:style w:type="paragraph" w:styleId="Prrafodelista">
    <w:name w:val="List Paragraph"/>
    <w:basedOn w:val="Normal"/>
    <w:uiPriority w:val="34"/>
    <w:qFormat/>
    <w:rsid w:val="00304D62"/>
    <w:pPr>
      <w:ind w:left="720"/>
      <w:contextualSpacing/>
    </w:pPr>
  </w:style>
  <w:style w:type="character" w:styleId="Hipervnculo">
    <w:name w:val="Hyperlink"/>
    <w:basedOn w:val="Fuentedeprrafopredeter"/>
    <w:uiPriority w:val="99"/>
    <w:unhideWhenUsed/>
    <w:rsid w:val="002E05F9"/>
    <w:rPr>
      <w:color w:val="0000FF" w:themeColor="hyperlink"/>
      <w:u w:val="single"/>
    </w:rPr>
  </w:style>
  <w:style w:type="paragraph" w:customStyle="1" w:styleId="textonormal">
    <w:name w:val="textonormal"/>
    <w:basedOn w:val="Normal"/>
    <w:rsid w:val="00EE16E6"/>
    <w:pPr>
      <w:spacing w:before="100" w:beforeAutospacing="1" w:after="100" w:afterAutospacing="1"/>
      <w:jc w:val="left"/>
    </w:pPr>
    <w:rPr>
      <w:rFonts w:eastAsia="Times New Roman" w:cs="Arial"/>
      <w:sz w:val="13"/>
      <w:szCs w:val="13"/>
      <w:lang w:val="es-ES"/>
    </w:rPr>
  </w:style>
  <w:style w:type="paragraph" w:styleId="Textoindependiente">
    <w:name w:val="Body Text"/>
    <w:basedOn w:val="Normal"/>
    <w:link w:val="TextoindependienteCar"/>
    <w:rsid w:val="000D75D2"/>
    <w:pPr>
      <w:spacing w:after="0"/>
    </w:pPr>
    <w:rPr>
      <w:rFonts w:eastAsia="Times New Roman" w:cs="Arial"/>
      <w:sz w:val="24"/>
      <w:szCs w:val="24"/>
      <w:lang w:val="es-ES"/>
    </w:rPr>
  </w:style>
  <w:style w:type="character" w:customStyle="1" w:styleId="TextoindependienteCar">
    <w:name w:val="Texto independiente Car"/>
    <w:basedOn w:val="Fuentedeprrafopredeter"/>
    <w:link w:val="Textoindependiente"/>
    <w:rsid w:val="000D75D2"/>
    <w:rPr>
      <w:rFonts w:ascii="Arial" w:eastAsia="Times New Roman" w:hAnsi="Arial" w:cs="Arial"/>
      <w:sz w:val="24"/>
      <w:szCs w:val="24"/>
      <w:lang w:val="es-ES" w:eastAsia="es-ES"/>
    </w:rPr>
  </w:style>
  <w:style w:type="paragraph" w:styleId="TtuloTDC">
    <w:name w:val="TOC Heading"/>
    <w:basedOn w:val="Ttulo1"/>
    <w:next w:val="Normal"/>
    <w:uiPriority w:val="39"/>
    <w:unhideWhenUsed/>
    <w:qFormat/>
    <w:rsid w:val="00ED6A8D"/>
    <w:pPr>
      <w:numPr>
        <w:numId w:val="0"/>
      </w:numPr>
      <w:spacing w:after="0" w:line="259" w:lineRule="auto"/>
      <w:outlineLvl w:val="9"/>
    </w:pPr>
    <w:rPr>
      <w:rFonts w:asciiTheme="majorHAnsi" w:eastAsiaTheme="majorEastAsia" w:hAnsiTheme="majorHAnsi" w:cstheme="majorBidi"/>
      <w:b w:val="0"/>
      <w:bCs w:val="0"/>
      <w:color w:val="365F91" w:themeColor="accent1" w:themeShade="BF"/>
      <w:sz w:val="32"/>
      <w:szCs w:val="32"/>
      <w:lang w:val="es-ES"/>
    </w:rPr>
  </w:style>
  <w:style w:type="paragraph" w:styleId="TDC1">
    <w:name w:val="toc 1"/>
    <w:basedOn w:val="Normal"/>
    <w:next w:val="Normal"/>
    <w:autoRedefine/>
    <w:uiPriority w:val="39"/>
    <w:unhideWhenUsed/>
    <w:rsid w:val="00ED6A8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cartd.org/?p=page/html/detallnoticia/3298/004/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doi.org/10.1038/s41598-021-89077-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doi.org/10.1186/s13018-019-1199-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i.org/10.1093/eurheartj/ehac27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oi.org/10.1016/j.recesp.2018.01.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oi.org/10.1016/j.chest.2022.07.025"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2\Temp\33\Protocol%20assistencial-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èric Processos" ma:contentTypeID="0x010100995AC4CED0BA154C9D0AD19D21D705CE00DCD0C47C93222042A9A44EE051395B64" ma:contentTypeVersion="59" ma:contentTypeDescription="" ma:contentTypeScope="" ma:versionID="2c9acf370113d5b00fec2ef2d128d12d">
  <xsd:schema xmlns:xsd="http://www.w3.org/2001/XMLSchema" xmlns:xs="http://www.w3.org/2001/XMLSchema" xmlns:p="http://schemas.microsoft.com/office/2006/metadata/properties" xmlns:ns1="541530b8-4172-4906-a148-91cf5f5b4e4f" xmlns:ns3="5ce3c61e-7e49-4f7e-ad78-af786b6838e6" xmlns:ns4="http://schemas.microsoft.com/sharepoint/v3/fields" targetNamespace="http://schemas.microsoft.com/office/2006/metadata/properties" ma:root="true" ma:fieldsID="d756f3bae0b1bf90b56f01eadca85455" ns1:_="" ns3:_="" ns4:_="">
    <xsd:import namespace="541530b8-4172-4906-a148-91cf5f5b4e4f"/>
    <xsd:import namespace="5ce3c61e-7e49-4f7e-ad78-af786b6838e6"/>
    <xsd:import namespace="http://schemas.microsoft.com/sharepoint/v3/fields"/>
    <xsd:element name="properties">
      <xsd:complexType>
        <xsd:sequence>
          <xsd:element name="documentManagement">
            <xsd:complexType>
              <xsd:all>
                <xsd:element ref="ns1:Tipus_x0020_document" minOccurs="0"/>
                <xsd:element ref="ns1:Codi" minOccurs="0"/>
                <xsd:element ref="ns1:Centre_x0020_CSI" minOccurs="0"/>
                <xsd:element ref="ns1:Centre1" minOccurs="0"/>
                <xsd:element ref="ns1:Obsolet" minOccurs="0"/>
                <xsd:element ref="ns3:Proc_x00e9_s" minOccurs="0"/>
                <xsd:element ref="ns4:_Status" minOccurs="0"/>
                <xsd:element ref="ns1:Àmbit" minOccurs="0"/>
                <xsd:element ref="ns1:Macro" minOccurs="0"/>
                <xsd:element ref="ns1:Divisió" minOccurs="0"/>
                <xsd:element ref="ns1:Tipus_x0020_Procés" minOccurs="0"/>
                <xsd:element ref="ns1:Procés_x0020_copia" minOccurs="0"/>
                <xsd:element ref="ns1:Data_x0020_aprovació" minOccurs="0"/>
                <xsd:element ref="ns3:UltimAprova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530b8-4172-4906-a148-91cf5f5b4e4f" elementFormDefault="qualified">
    <xsd:import namespace="http://schemas.microsoft.com/office/2006/documentManagement/types"/>
    <xsd:import namespace="http://schemas.microsoft.com/office/infopath/2007/PartnerControls"/>
    <xsd:element name="Tipus_x0020_document" ma:index="0" nillable="true" ma:displayName="Tipus doc." ma:list="{8674aca6-2e55-4815-862f-f6f76ab0ac2d}" ma:internalName="Tipus_x0020_document" ma:showField="Codi" ma:web="541530b8-4172-4906-a148-91cf5f5b4e4f">
      <xsd:simpleType>
        <xsd:restriction base="dms:Lookup"/>
      </xsd:simpleType>
    </xsd:element>
    <xsd:element name="Codi" ma:index="3" nillable="true" ma:displayName="Codi" ma:internalName="Codi">
      <xsd:simpleType>
        <xsd:restriction base="dms:Text">
          <xsd:maxLength value="10"/>
        </xsd:restriction>
      </xsd:simpleType>
    </xsd:element>
    <xsd:element name="Centre_x0020_CSI" ma:index="4" nillable="true" ma:displayName="Unificar" ma:description="Centre d'aplicació del document, pendent d'unificació a nivell de CSI." ma:list="{2fd6281a-1cfa-4641-8462-4d7d599cc14d}" ma:internalName="Centre_x0020_CSI" ma:showField="Codi" ma:web="541530b8-4172-4906-a148-91cf5f5b4e4f">
      <xsd:simpleType>
        <xsd:restriction base="dms:Lookup"/>
      </xsd:simpleType>
    </xsd:element>
    <xsd:element name="Centre1" ma:index="5" nillable="true" ma:displayName="Centre" ma:description="Especificar només per CAIDM i Residències." ma:format="Dropdown" ma:internalName="Centre1" ma:readOnly="false">
      <xsd:simpleType>
        <xsd:restriction base="dms:Choice">
          <xsd:enumeration value="CAIDM"/>
          <xsd:enumeration value="RFP"/>
          <xsd:enumeration value="RCS"/>
        </xsd:restriction>
      </xsd:simpleType>
    </xsd:element>
    <xsd:element name="Obsolet" ma:index="6" nillable="true" ma:displayName="Obsolet" ma:default="0" ma:internalName="Obsolet">
      <xsd:simpleType>
        <xsd:restriction base="dms:Boolean"/>
      </xsd:simpleType>
    </xsd:element>
    <xsd:element name="Àmbit" ma:index="14" nillable="true" ma:displayName="Àmbit" ma:hidden="true" ma:list="{8bbc5fe4-3a3f-42e2-ae8d-036054f2b540}" ma:internalName="_x00c0_mbit" ma:readOnly="false" ma:showField="Title" ma:web="541530b8-4172-4906-a148-91cf5f5b4e4f">
      <xsd:simpleType>
        <xsd:restriction base="dms:Lookup"/>
      </xsd:simpleType>
    </xsd:element>
    <xsd:element name="Macro" ma:index="15" nillable="true" ma:displayName="Macro" ma:hidden="true" ma:list="{51d6441f-07e2-451b-b42e-e59d6b0478f0}" ma:internalName="Macro" ma:readOnly="false" ma:showField="Title" ma:web="541530b8-4172-4906-a148-91cf5f5b4e4f">
      <xsd:simpleType>
        <xsd:restriction base="dms:Lookup"/>
      </xsd:simpleType>
    </xsd:element>
    <xsd:element name="Divisió" ma:index="16" nillable="true" ma:displayName="Divisió" ma:hidden="true" ma:list="{c2a22baf-20c1-43f3-a6fa-72dcc032073c}" ma:internalName="Divisi_x00f3_" ma:readOnly="false" ma:showField="Title" ma:web="541530b8-4172-4906-a148-91cf5f5b4e4f">
      <xsd:simpleType>
        <xsd:restriction base="dms:Lookup"/>
      </xsd:simpleType>
    </xsd:element>
    <xsd:element name="Tipus_x0020_Procés" ma:index="17" nillable="true" ma:displayName="Tipus Procés" ma:hidden="true" ma:list="{6108c6db-8aed-49a5-a20d-b3e5fd74853c}" ma:internalName="Tipus_x0020_Proc_x00e9_s" ma:readOnly="false" ma:showField="Title" ma:web="541530b8-4172-4906-a148-91cf5f5b4e4f">
      <xsd:simpleType>
        <xsd:restriction base="dms:Lookup"/>
      </xsd:simpleType>
    </xsd:element>
    <xsd:element name="Procés_x0020_copia" ma:index="20" nillable="true" ma:displayName="Procés copia" ma:hidden="true" ma:list="{244ecea7-857b-4cab-b399-32161e0f1531}" ma:internalName="Proc_x00e9_s_x0020_copia" ma:readOnly="false" ma:showField="Descripci_x00f3_" ma:web="541530b8-4172-4906-a148-91cf5f5b4e4f">
      <xsd:simpleType>
        <xsd:restriction base="dms:Lookup"/>
      </xsd:simpleType>
    </xsd:element>
    <xsd:element name="Data_x0020_aprovació" ma:index="25" nillable="true" ma:displayName="Data aprovació" ma:format="DateOnly" ma:hidden="true" ma:internalName="Data_x0020_aprovaci_x00f3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e3c61e-7e49-4f7e-ad78-af786b6838e6" elementFormDefault="qualified">
    <xsd:import namespace="http://schemas.microsoft.com/office/2006/documentManagement/types"/>
    <xsd:import namespace="http://schemas.microsoft.com/office/infopath/2007/PartnerControls"/>
    <xsd:element name="Proc_x00e9_s" ma:index="9" nillable="true" ma:displayName="Procés" ma:list="{244ecea7-857b-4cab-b399-32161e0f1531}" ma:internalName="Proc_x00e9_s" ma:showField="Descripci_x00f3_">
      <xsd:simpleType>
        <xsd:restriction base="dms:Lookup"/>
      </xsd:simpleType>
    </xsd:element>
    <xsd:element name="UltimAprovador" ma:index="28" nillable="true" ma:displayName="Últim Aprovador" ma:hidden="true" ma:list="UserInfo" ma:SharePointGroup="0" ma:internalName="UltimAprovad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Estat" ma:default="En curs" ma:format="RadioButtons" ma:hidden="true" ma:internalName="_Status" ma:readOnly="false">
      <xsd:simpleType>
        <xsd:restriction base="dms:Choice">
          <xsd:enumeration value="En curs"/>
          <xsd:enumeration value="Pendent de validació"/>
          <xsd:enumeration value="Validat"/>
          <xsd:enumeration value="No valida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us de contingut"/>
        <xsd:element ref="dc:title" minOccurs="0" maxOccurs="1" ma:displayName="Not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Àmbit xmlns="541530b8-4172-4906-a148-91cf5f5b4e4f">10</Àmbit>
    <Obsolet xmlns="541530b8-4172-4906-a148-91cf5f5b4e4f">false</Obsolet>
    <Macro xmlns="541530b8-4172-4906-a148-91cf5f5b4e4f" xsi:nil="true"/>
    <Tipus_x0020_Procés xmlns="541530b8-4172-4906-a148-91cf5f5b4e4f">2</Tipus_x0020_Procés>
    <_Status xmlns="http://schemas.microsoft.com/sharepoint/v3/fields">En curs</_Status>
    <UltimAprovador xmlns="5ce3c61e-7e49-4f7e-ad78-af786b6838e6">
      <UserInfo>
        <DisplayName/>
        <AccountId xsi:nil="true"/>
        <AccountType/>
      </UserInfo>
    </UltimAprovador>
    <Data_x0020_aprovació xmlns="541530b8-4172-4906-a148-91cf5f5b4e4f" xsi:nil="true"/>
    <Centre_x0020_CSI xmlns="541530b8-4172-4906-a148-91cf5f5b4e4f" xsi:nil="true"/>
    <Divisió xmlns="541530b8-4172-4906-a148-91cf5f5b4e4f">3</Divisió>
    <Proc_x00e9_s xmlns="5ce3c61e-7e49-4f7e-ad78-af786b6838e6">31</Proc_x00e9_s>
    <Centre1 xmlns="541530b8-4172-4906-a148-91cf5f5b4e4f" xsi:nil="true"/>
    <Codi xmlns="541530b8-4172-4906-a148-91cf5f5b4e4f">DAS-RA-007</Codi>
    <Procés_x0020_copia xmlns="541530b8-4172-4906-a148-91cf5f5b4e4f">35</Procés_x0020_copia>
    <Tipus_x0020_document xmlns="541530b8-4172-4906-a148-91cf5f5b4e4f">13</Tipus_x0020_document>
  </documentManagement>
</p:properties>
</file>

<file path=customXml/itemProps1.xml><?xml version="1.0" encoding="utf-8"?>
<ds:datastoreItem xmlns:ds="http://schemas.openxmlformats.org/officeDocument/2006/customXml" ds:itemID="{79882781-901C-4283-A296-2C6BCED5D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530b8-4172-4906-a148-91cf5f5b4e4f"/>
    <ds:schemaRef ds:uri="5ce3c61e-7e49-4f7e-ad78-af786b6838e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D4C72-B032-4AF3-8605-FD082E714593}">
  <ds:schemaRefs>
    <ds:schemaRef ds:uri="http://schemas.openxmlformats.org/officeDocument/2006/bibliography"/>
  </ds:schemaRefs>
</ds:datastoreItem>
</file>

<file path=customXml/itemProps3.xml><?xml version="1.0" encoding="utf-8"?>
<ds:datastoreItem xmlns:ds="http://schemas.openxmlformats.org/officeDocument/2006/customXml" ds:itemID="{64C2EA94-800D-4BA2-AEAD-33365C4AB1BE}">
  <ds:schemaRefs>
    <ds:schemaRef ds:uri="http://schemas.microsoft.com/sharepoint/v3/contenttype/forms"/>
  </ds:schemaRefs>
</ds:datastoreItem>
</file>

<file path=customXml/itemProps4.xml><?xml version="1.0" encoding="utf-8"?>
<ds:datastoreItem xmlns:ds="http://schemas.openxmlformats.org/officeDocument/2006/customXml" ds:itemID="{72EA5C7C-548F-4FCA-A158-8EAA5E3C72CC}">
  <ds:schemaRefs>
    <ds:schemaRef ds:uri="http://schemas.microsoft.com/office/2006/metadata/properties"/>
    <ds:schemaRef ds:uri="http://schemas.microsoft.com/office/infopath/2007/PartnerControls"/>
    <ds:schemaRef ds:uri="541530b8-4172-4906-a148-91cf5f5b4e4f"/>
    <ds:schemaRef ds:uri="http://schemas.microsoft.com/sharepoint/v3/fields"/>
    <ds:schemaRef ds:uri="5ce3c61e-7e49-4f7e-ad78-af786b6838e6"/>
  </ds:schemaRefs>
</ds:datastoreItem>
</file>

<file path=docProps/app.xml><?xml version="1.0" encoding="utf-8"?>
<Properties xmlns="http://schemas.openxmlformats.org/officeDocument/2006/extended-properties" xmlns:vt="http://schemas.openxmlformats.org/officeDocument/2006/docPropsVTypes">
  <Template>Protocol assistencial-1</Template>
  <TotalTime>0</TotalTime>
  <Pages>14</Pages>
  <Words>3660</Words>
  <Characters>20133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Carles Jerico Alba</dc:creator>
  <cp:lastModifiedBy>Eva Bas</cp:lastModifiedBy>
  <cp:revision>2</cp:revision>
  <dcterms:created xsi:type="dcterms:W3CDTF">2024-09-25T15:00:00Z</dcterms:created>
  <dcterms:modified xsi:type="dcterms:W3CDTF">2024-09-25T15:00:00Z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0x010100995AC4CED0BA154C9D0AD19D21D705CE00DCD0C47C93222042A9A44EE051395B64</vt:lpwstr>
  </property>
  <property fmtid="{D5CDD505-2E9C-101B-9397-08002B2CF9AE}" pid="3" name="WorkflowChangePath">
    <vt:lpwstr>cb61f45e-439a-46c7-8349-37daaa40c5c2,15;cb61f45e-439a-46c7-8349-37daaa40c5c2,6;cb61f45e-439a-46c7-8349-37daaa40c5c2,4;cb61f45e-439a-46c7-8349-37daaa40c5c2,5;cb61f45e-439a-46c7-8349-37daaa40c5c2,2;cb61f45e-439a-46c7-8349-37daaa40c5c2,4;</vt:lpwstr>
  </property>
</Properties>
</file>